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55" w:rsidRPr="00A75455" w:rsidRDefault="00A75455" w:rsidP="00A75455">
      <w:pPr>
        <w:ind w:left="-567" w:firstLine="454"/>
        <w:jc w:val="center"/>
        <w:rPr>
          <w:b/>
          <w:bCs/>
          <w:caps/>
          <w:sz w:val="36"/>
          <w:szCs w:val="36"/>
        </w:rPr>
      </w:pPr>
      <w:r w:rsidRPr="00A75455">
        <w:rPr>
          <w:b/>
          <w:bCs/>
          <w:caps/>
          <w:sz w:val="36"/>
          <w:szCs w:val="36"/>
        </w:rPr>
        <w:t>Структура налогоо</w:t>
      </w:r>
      <w:r>
        <w:rPr>
          <w:b/>
          <w:bCs/>
          <w:caps/>
          <w:sz w:val="36"/>
          <w:szCs w:val="36"/>
        </w:rPr>
        <w:t>бложения региональной экономики и</w:t>
      </w:r>
      <w:r w:rsidRPr="00A75455">
        <w:rPr>
          <w:b/>
          <w:bCs/>
          <w:caps/>
          <w:sz w:val="36"/>
          <w:szCs w:val="36"/>
        </w:rPr>
        <w:t xml:space="preserve"> </w:t>
      </w:r>
      <w:r>
        <w:rPr>
          <w:b/>
          <w:bCs/>
          <w:caps/>
          <w:sz w:val="36"/>
          <w:szCs w:val="36"/>
        </w:rPr>
        <w:t>Перспективы</w:t>
      </w:r>
      <w:r w:rsidRPr="00A75455">
        <w:rPr>
          <w:b/>
          <w:bCs/>
          <w:caps/>
          <w:sz w:val="36"/>
          <w:szCs w:val="36"/>
        </w:rPr>
        <w:t xml:space="preserve"> увеличения </w:t>
      </w:r>
      <w:r>
        <w:rPr>
          <w:b/>
          <w:bCs/>
          <w:caps/>
          <w:sz w:val="36"/>
          <w:szCs w:val="36"/>
        </w:rPr>
        <w:t xml:space="preserve">её </w:t>
      </w:r>
      <w:r w:rsidRPr="00A75455">
        <w:rPr>
          <w:b/>
          <w:bCs/>
          <w:caps/>
          <w:sz w:val="36"/>
          <w:szCs w:val="36"/>
        </w:rPr>
        <w:t>эффективности</w:t>
      </w:r>
    </w:p>
    <w:p w:rsidR="005B04F9" w:rsidRPr="005B04F9" w:rsidRDefault="005B04F9" w:rsidP="009423FA">
      <w:pPr>
        <w:ind w:left="-567" w:firstLine="45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5B04F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ОБЩАЯ ХАРАКТЕРИСТИКА РАБОТЫ</w:t>
      </w:r>
    </w:p>
    <w:p w:rsidR="009423FA" w:rsidRDefault="0090195F" w:rsidP="009423FA">
      <w:pPr>
        <w:ind w:left="-567" w:firstLine="4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 темы исследования. </w:t>
      </w:r>
      <w:r w:rsidR="009423FA">
        <w:rPr>
          <w:sz w:val="28"/>
          <w:szCs w:val="28"/>
        </w:rPr>
        <w:t xml:space="preserve">Экономическая система России  функционирует в условиях неравновесности,  что обусловлено как объективными факторами, так и неэффективностью </w:t>
      </w:r>
      <w:r w:rsidR="007352DC">
        <w:rPr>
          <w:sz w:val="28"/>
          <w:szCs w:val="28"/>
        </w:rPr>
        <w:t>государственного регулирования. Д</w:t>
      </w:r>
      <w:r w:rsidR="009423FA">
        <w:rPr>
          <w:sz w:val="28"/>
          <w:szCs w:val="28"/>
        </w:rPr>
        <w:t>ифференциация регионов России по уровню социально-экономического развития  значительна и продолжает нарастать. Так, по объему валового регионального продукта на душу населения минимальное и максимальное значение в субъектах РФ различалось</w:t>
      </w:r>
      <w:r w:rsidR="009423FA" w:rsidRPr="009423FA">
        <w:rPr>
          <w:sz w:val="28"/>
          <w:szCs w:val="28"/>
        </w:rPr>
        <w:t xml:space="preserve"> </w:t>
      </w:r>
      <w:r w:rsidR="009423FA">
        <w:rPr>
          <w:sz w:val="28"/>
          <w:szCs w:val="28"/>
        </w:rPr>
        <w:t>в 1999 году в 17,1 раза, в 2006 году – в 35,9 раза, в 2010 – 24,6.</w:t>
      </w:r>
      <w:r w:rsidR="009423FA" w:rsidRPr="009423FA">
        <w:rPr>
          <w:sz w:val="28"/>
          <w:szCs w:val="28"/>
        </w:rPr>
        <w:t xml:space="preserve"> </w:t>
      </w:r>
      <w:r w:rsidR="009423FA">
        <w:rPr>
          <w:sz w:val="28"/>
          <w:szCs w:val="28"/>
        </w:rPr>
        <w:t>Более 42 % суммарного объёма ВРП по стране обеспечивалось силами 9 регионов.</w:t>
      </w:r>
      <w:r w:rsidR="009423FA" w:rsidRPr="009423FA">
        <w:rPr>
          <w:sz w:val="28"/>
          <w:szCs w:val="28"/>
        </w:rPr>
        <w:t xml:space="preserve"> </w:t>
      </w:r>
      <w:r w:rsidR="009423FA">
        <w:rPr>
          <w:sz w:val="28"/>
          <w:szCs w:val="28"/>
        </w:rPr>
        <w:t xml:space="preserve">В НСО </w:t>
      </w:r>
      <w:r w:rsidR="00B209EA">
        <w:rPr>
          <w:sz w:val="28"/>
          <w:szCs w:val="28"/>
        </w:rPr>
        <w:t xml:space="preserve">данный </w:t>
      </w:r>
      <w:r w:rsidR="009423FA">
        <w:rPr>
          <w:sz w:val="28"/>
          <w:szCs w:val="28"/>
        </w:rPr>
        <w:t>показатель составляет 82 % от среднего по России уровня (по состоянию на 2010 г). См. рис. 1</w:t>
      </w:r>
      <w:r w:rsidR="003E6D38">
        <w:rPr>
          <w:sz w:val="28"/>
          <w:szCs w:val="28"/>
        </w:rPr>
        <w:t>, табл. 1.</w:t>
      </w:r>
    </w:p>
    <w:p w:rsidR="009423FA" w:rsidRDefault="009423FA" w:rsidP="003E6D38">
      <w:pPr>
        <w:ind w:left="-1134" w:firstLine="454"/>
        <w:jc w:val="both"/>
        <w:rPr>
          <w:sz w:val="28"/>
          <w:szCs w:val="28"/>
        </w:rPr>
      </w:pPr>
      <w:r w:rsidRPr="009423FA">
        <w:rPr>
          <w:noProof/>
          <w:sz w:val="28"/>
          <w:szCs w:val="28"/>
        </w:rPr>
        <w:drawing>
          <wp:inline distT="0" distB="0" distL="0" distR="0">
            <wp:extent cx="2051050" cy="2044700"/>
            <wp:effectExtent l="19050" t="0" r="254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9423FA">
        <w:rPr>
          <w:noProof/>
          <w:sz w:val="28"/>
          <w:szCs w:val="28"/>
        </w:rPr>
        <w:drawing>
          <wp:inline distT="0" distB="0" distL="0" distR="0">
            <wp:extent cx="2051050" cy="2057400"/>
            <wp:effectExtent l="19050" t="0" r="2540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9423FA">
        <w:rPr>
          <w:noProof/>
          <w:sz w:val="28"/>
          <w:szCs w:val="28"/>
        </w:rPr>
        <w:drawing>
          <wp:inline distT="0" distB="0" distL="0" distR="0">
            <wp:extent cx="2076450" cy="20574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6D38" w:rsidRDefault="00E60A2A" w:rsidP="003E6D38">
      <w:pPr>
        <w:ind w:left="-1134" w:firstLine="45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1.7pt;margin-top:1.2pt;width:50.25pt;height:21.75pt;z-index:251662336;mso-height-percent:200;mso-height-percent:200;mso-width-relative:margin;mso-height-relative:margin" strokecolor="white [3212]">
            <v:textbox style="mso-fit-shape-to-text:t">
              <w:txbxContent>
                <w:p w:rsidR="0006600C" w:rsidRDefault="0006600C" w:rsidP="003E6D38">
                  <w:pPr>
                    <w:jc w:val="center"/>
                  </w:pPr>
                  <w:r>
                    <w:t>2010 г.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193.15pt;margin-top:.8pt;width:50.25pt;height:21.75pt;z-index:251661312;mso-height-percent:200;mso-height-percent:200;mso-width-relative:margin;mso-height-relative:margin" strokecolor="white [3212]">
            <v:textbox style="mso-fit-shape-to-text:t">
              <w:txbxContent>
                <w:p w:rsidR="0006600C" w:rsidRDefault="0006600C" w:rsidP="003E6D38">
                  <w:pPr>
                    <w:jc w:val="center"/>
                  </w:pPr>
                  <w:r>
                    <w:t>2004 г.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027" type="#_x0000_t202" style="position:absolute;left:0;text-align:left;margin-left:24.7pt;margin-top:.4pt;width:50.25pt;height:21.75pt;z-index:251660288;mso-height-percent:200;mso-height-percent:200;mso-width-relative:margin;mso-height-relative:margin" strokecolor="white [3212]">
            <v:textbox style="mso-fit-shape-to-text:t">
              <w:txbxContent>
                <w:p w:rsidR="0006600C" w:rsidRDefault="0006600C" w:rsidP="003E6D38">
                  <w:pPr>
                    <w:jc w:val="center"/>
                  </w:pPr>
                  <w:r>
                    <w:t>1998 г.</w:t>
                  </w:r>
                </w:p>
              </w:txbxContent>
            </v:textbox>
          </v:shape>
        </w:pict>
      </w:r>
    </w:p>
    <w:p w:rsidR="003E6D38" w:rsidRDefault="003E6D38" w:rsidP="003E6D38">
      <w:pPr>
        <w:ind w:left="-1134" w:firstLine="454"/>
        <w:jc w:val="both"/>
        <w:rPr>
          <w:sz w:val="28"/>
          <w:szCs w:val="28"/>
        </w:rPr>
      </w:pPr>
    </w:p>
    <w:p w:rsidR="003E6D38" w:rsidRDefault="003E6D38" w:rsidP="003E6D38">
      <w:pPr>
        <w:ind w:left="-1134" w:firstLine="454"/>
        <w:jc w:val="center"/>
        <w:rPr>
          <w:i/>
          <w:sz w:val="28"/>
          <w:szCs w:val="28"/>
        </w:rPr>
      </w:pPr>
      <w:r w:rsidRPr="003E6D38">
        <w:rPr>
          <w:i/>
          <w:sz w:val="28"/>
          <w:szCs w:val="28"/>
        </w:rPr>
        <w:t xml:space="preserve">Рисунок 1. ВРП субъектов РФ на душу населения </w:t>
      </w:r>
    </w:p>
    <w:p w:rsidR="003E6D38" w:rsidRDefault="003E6D38" w:rsidP="003E6D38">
      <w:pPr>
        <w:spacing w:after="120"/>
        <w:ind w:left="-1134" w:firstLine="454"/>
        <w:jc w:val="center"/>
        <w:rPr>
          <w:i/>
          <w:sz w:val="28"/>
          <w:szCs w:val="28"/>
        </w:rPr>
      </w:pPr>
      <w:r w:rsidRPr="003E6D38">
        <w:rPr>
          <w:i/>
          <w:sz w:val="28"/>
          <w:szCs w:val="28"/>
        </w:rPr>
        <w:t>по отношению к среднероссийской величине, %</w:t>
      </w:r>
    </w:p>
    <w:p w:rsidR="003E6D38" w:rsidRPr="003E6D38" w:rsidRDefault="003E6D38" w:rsidP="003E6D38">
      <w:pPr>
        <w:ind w:left="-1134" w:firstLine="45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Таблица</w:t>
      </w:r>
      <w:r w:rsidRPr="003E6D38">
        <w:rPr>
          <w:i/>
          <w:sz w:val="28"/>
          <w:szCs w:val="28"/>
        </w:rPr>
        <w:t xml:space="preserve"> 1. Распределение ВРП по группам регионов относительно среднероссийской величины ВРП на душу </w:t>
      </w:r>
      <w:r>
        <w:rPr>
          <w:i/>
          <w:sz w:val="28"/>
          <w:szCs w:val="28"/>
        </w:rPr>
        <w:t>населении, 2010 г.</w:t>
      </w:r>
    </w:p>
    <w:tbl>
      <w:tblPr>
        <w:tblStyle w:val="af0"/>
        <w:tblW w:w="0" w:type="auto"/>
        <w:jc w:val="center"/>
        <w:tblInd w:w="-567" w:type="dxa"/>
        <w:tblLook w:val="04A0"/>
      </w:tblPr>
      <w:tblGrid>
        <w:gridCol w:w="3190"/>
        <w:gridCol w:w="3190"/>
        <w:gridCol w:w="3190"/>
      </w:tblGrid>
      <w:tr w:rsidR="003E6D38" w:rsidTr="003E6D38">
        <w:trPr>
          <w:jc w:val="center"/>
        </w:trPr>
        <w:tc>
          <w:tcPr>
            <w:tcW w:w="3190" w:type="dxa"/>
            <w:vAlign w:val="center"/>
          </w:tcPr>
          <w:p w:rsidR="003E6D38" w:rsidRPr="00B209EA" w:rsidRDefault="003E6D38" w:rsidP="003E6D38">
            <w:pPr>
              <w:pStyle w:val="a3"/>
              <w:spacing w:before="0"/>
              <w:jc w:val="center"/>
              <w:rPr>
                <w:sz w:val="36"/>
                <w:szCs w:val="36"/>
              </w:rPr>
            </w:pPr>
            <w:r w:rsidRPr="00B209EA">
              <w:rPr>
                <w:b/>
                <w:bCs/>
                <w:kern w:val="24"/>
              </w:rPr>
              <w:t>Группы регионов по отношению к среднероссийской величине ВРП на душу населения, %</w:t>
            </w:r>
          </w:p>
        </w:tc>
        <w:tc>
          <w:tcPr>
            <w:tcW w:w="3190" w:type="dxa"/>
            <w:vAlign w:val="center"/>
          </w:tcPr>
          <w:p w:rsidR="003E6D38" w:rsidRPr="00B209EA" w:rsidRDefault="003E6D38" w:rsidP="003E6D38">
            <w:pPr>
              <w:pStyle w:val="a3"/>
              <w:spacing w:before="0"/>
              <w:jc w:val="center"/>
              <w:rPr>
                <w:sz w:val="36"/>
                <w:szCs w:val="36"/>
              </w:rPr>
            </w:pPr>
            <w:r w:rsidRPr="00B209EA">
              <w:rPr>
                <w:b/>
                <w:bCs/>
                <w:kern w:val="24"/>
              </w:rPr>
              <w:t>Количество регионов в группе</w:t>
            </w:r>
          </w:p>
        </w:tc>
        <w:tc>
          <w:tcPr>
            <w:tcW w:w="3190" w:type="dxa"/>
            <w:vAlign w:val="center"/>
          </w:tcPr>
          <w:p w:rsidR="003E6D38" w:rsidRPr="00B209EA" w:rsidRDefault="003E6D38" w:rsidP="003E6D38">
            <w:pPr>
              <w:pStyle w:val="a3"/>
              <w:spacing w:before="0"/>
              <w:jc w:val="center"/>
              <w:rPr>
                <w:sz w:val="36"/>
                <w:szCs w:val="36"/>
              </w:rPr>
            </w:pPr>
            <w:r w:rsidRPr="00B209EA">
              <w:rPr>
                <w:b/>
                <w:bCs/>
                <w:kern w:val="24"/>
              </w:rPr>
              <w:t>Доля в суммарном объёме ВРП, %</w:t>
            </w:r>
          </w:p>
        </w:tc>
      </w:tr>
      <w:tr w:rsidR="003E6D38" w:rsidTr="003E6D38">
        <w:trPr>
          <w:jc w:val="center"/>
        </w:trPr>
        <w:tc>
          <w:tcPr>
            <w:tcW w:w="3190" w:type="dxa"/>
          </w:tcPr>
          <w:p w:rsidR="003E6D38" w:rsidRPr="00B209EA" w:rsidRDefault="003E6D38">
            <w:pPr>
              <w:pStyle w:val="a3"/>
              <w:spacing w:before="0"/>
              <w:rPr>
                <w:sz w:val="36"/>
                <w:szCs w:val="36"/>
              </w:rPr>
            </w:pPr>
            <w:r w:rsidRPr="00B209EA">
              <w:rPr>
                <w:color w:val="000000"/>
                <w:kern w:val="24"/>
              </w:rPr>
              <w:t xml:space="preserve">менее 50 </w:t>
            </w:r>
          </w:p>
        </w:tc>
        <w:tc>
          <w:tcPr>
            <w:tcW w:w="3190" w:type="dxa"/>
          </w:tcPr>
          <w:p w:rsidR="003E6D38" w:rsidRPr="00B209EA" w:rsidRDefault="003E6D38">
            <w:pPr>
              <w:pStyle w:val="a3"/>
              <w:spacing w:before="0"/>
              <w:jc w:val="center"/>
              <w:rPr>
                <w:sz w:val="36"/>
                <w:szCs w:val="36"/>
              </w:rPr>
            </w:pPr>
            <w:r w:rsidRPr="00B209EA">
              <w:rPr>
                <w:color w:val="000000"/>
                <w:kern w:val="24"/>
              </w:rPr>
              <w:t xml:space="preserve">11 </w:t>
            </w:r>
          </w:p>
        </w:tc>
        <w:tc>
          <w:tcPr>
            <w:tcW w:w="3190" w:type="dxa"/>
          </w:tcPr>
          <w:p w:rsidR="003E6D38" w:rsidRPr="00B209EA" w:rsidRDefault="003E6D38">
            <w:pPr>
              <w:pStyle w:val="a3"/>
              <w:spacing w:before="0"/>
              <w:jc w:val="center"/>
              <w:rPr>
                <w:sz w:val="36"/>
                <w:szCs w:val="36"/>
              </w:rPr>
            </w:pPr>
            <w:r w:rsidRPr="00B209EA">
              <w:rPr>
                <w:color w:val="000000"/>
                <w:kern w:val="24"/>
              </w:rPr>
              <w:t xml:space="preserve">2,12 </w:t>
            </w:r>
          </w:p>
        </w:tc>
      </w:tr>
      <w:tr w:rsidR="003E6D38" w:rsidTr="003E6D38">
        <w:trPr>
          <w:jc w:val="center"/>
        </w:trPr>
        <w:tc>
          <w:tcPr>
            <w:tcW w:w="3190" w:type="dxa"/>
          </w:tcPr>
          <w:p w:rsidR="003E6D38" w:rsidRPr="00B209EA" w:rsidRDefault="003E6D38">
            <w:pPr>
              <w:pStyle w:val="a3"/>
              <w:spacing w:before="0"/>
              <w:rPr>
                <w:sz w:val="36"/>
                <w:szCs w:val="36"/>
              </w:rPr>
            </w:pPr>
            <w:r w:rsidRPr="00B209EA">
              <w:rPr>
                <w:color w:val="000000"/>
                <w:kern w:val="24"/>
              </w:rPr>
              <w:t xml:space="preserve">от 50 до 100 </w:t>
            </w:r>
          </w:p>
        </w:tc>
        <w:tc>
          <w:tcPr>
            <w:tcW w:w="3190" w:type="dxa"/>
          </w:tcPr>
          <w:p w:rsidR="003E6D38" w:rsidRPr="00B209EA" w:rsidRDefault="003E6D38">
            <w:pPr>
              <w:pStyle w:val="a3"/>
              <w:spacing w:before="0"/>
              <w:jc w:val="center"/>
              <w:rPr>
                <w:sz w:val="36"/>
                <w:szCs w:val="36"/>
              </w:rPr>
            </w:pPr>
            <w:r w:rsidRPr="00B209EA">
              <w:rPr>
                <w:color w:val="000000"/>
                <w:kern w:val="24"/>
              </w:rPr>
              <w:t xml:space="preserve">45 </w:t>
            </w:r>
          </w:p>
        </w:tc>
        <w:tc>
          <w:tcPr>
            <w:tcW w:w="3190" w:type="dxa"/>
          </w:tcPr>
          <w:p w:rsidR="003E6D38" w:rsidRPr="00B209EA" w:rsidRDefault="003E6D38">
            <w:pPr>
              <w:pStyle w:val="a3"/>
              <w:spacing w:before="0"/>
              <w:jc w:val="center"/>
              <w:rPr>
                <w:sz w:val="36"/>
                <w:szCs w:val="36"/>
              </w:rPr>
            </w:pPr>
            <w:r w:rsidRPr="00B209EA">
              <w:rPr>
                <w:color w:val="000000"/>
                <w:kern w:val="24"/>
              </w:rPr>
              <w:t xml:space="preserve">33,13 </w:t>
            </w:r>
          </w:p>
        </w:tc>
      </w:tr>
      <w:tr w:rsidR="003E6D38" w:rsidTr="003E6D38">
        <w:trPr>
          <w:jc w:val="center"/>
        </w:trPr>
        <w:tc>
          <w:tcPr>
            <w:tcW w:w="3190" w:type="dxa"/>
          </w:tcPr>
          <w:p w:rsidR="003E6D38" w:rsidRPr="00B209EA" w:rsidRDefault="003E6D38">
            <w:pPr>
              <w:pStyle w:val="a3"/>
              <w:spacing w:before="0"/>
              <w:rPr>
                <w:sz w:val="36"/>
                <w:szCs w:val="36"/>
              </w:rPr>
            </w:pPr>
            <w:r w:rsidRPr="00B209EA">
              <w:rPr>
                <w:color w:val="000000"/>
                <w:kern w:val="24"/>
              </w:rPr>
              <w:t xml:space="preserve">от 100 до 150 </w:t>
            </w:r>
          </w:p>
        </w:tc>
        <w:tc>
          <w:tcPr>
            <w:tcW w:w="3190" w:type="dxa"/>
          </w:tcPr>
          <w:p w:rsidR="003E6D38" w:rsidRPr="00B209EA" w:rsidRDefault="003E6D38">
            <w:pPr>
              <w:pStyle w:val="a3"/>
              <w:spacing w:before="0"/>
              <w:jc w:val="center"/>
              <w:rPr>
                <w:sz w:val="36"/>
                <w:szCs w:val="36"/>
              </w:rPr>
            </w:pPr>
            <w:r w:rsidRPr="00B209EA">
              <w:rPr>
                <w:color w:val="000000"/>
                <w:kern w:val="24"/>
              </w:rPr>
              <w:t xml:space="preserve">15 </w:t>
            </w:r>
          </w:p>
        </w:tc>
        <w:tc>
          <w:tcPr>
            <w:tcW w:w="3190" w:type="dxa"/>
          </w:tcPr>
          <w:p w:rsidR="003E6D38" w:rsidRPr="00B209EA" w:rsidRDefault="003E6D38">
            <w:pPr>
              <w:pStyle w:val="a3"/>
              <w:spacing w:before="0"/>
              <w:jc w:val="center"/>
              <w:rPr>
                <w:sz w:val="36"/>
                <w:szCs w:val="36"/>
              </w:rPr>
            </w:pPr>
            <w:r w:rsidRPr="00B209EA">
              <w:rPr>
                <w:color w:val="000000"/>
                <w:kern w:val="24"/>
              </w:rPr>
              <w:t xml:space="preserve">22,64 </w:t>
            </w:r>
          </w:p>
        </w:tc>
      </w:tr>
      <w:tr w:rsidR="003E6D38" w:rsidTr="003E6D38">
        <w:trPr>
          <w:jc w:val="center"/>
        </w:trPr>
        <w:tc>
          <w:tcPr>
            <w:tcW w:w="3190" w:type="dxa"/>
          </w:tcPr>
          <w:p w:rsidR="003E6D38" w:rsidRPr="00B209EA" w:rsidRDefault="003E6D38">
            <w:pPr>
              <w:pStyle w:val="a3"/>
              <w:spacing w:before="0"/>
              <w:rPr>
                <w:sz w:val="36"/>
                <w:szCs w:val="36"/>
              </w:rPr>
            </w:pPr>
            <w:r w:rsidRPr="00B209EA">
              <w:rPr>
                <w:color w:val="000000"/>
                <w:kern w:val="24"/>
              </w:rPr>
              <w:t xml:space="preserve">более 150 </w:t>
            </w:r>
          </w:p>
        </w:tc>
        <w:tc>
          <w:tcPr>
            <w:tcW w:w="3190" w:type="dxa"/>
          </w:tcPr>
          <w:p w:rsidR="003E6D38" w:rsidRPr="00B209EA" w:rsidRDefault="003E6D38">
            <w:pPr>
              <w:pStyle w:val="a3"/>
              <w:spacing w:before="0"/>
              <w:jc w:val="center"/>
              <w:rPr>
                <w:sz w:val="36"/>
                <w:szCs w:val="36"/>
              </w:rPr>
            </w:pPr>
            <w:r w:rsidRPr="00B209EA">
              <w:rPr>
                <w:color w:val="000000"/>
                <w:kern w:val="24"/>
              </w:rPr>
              <w:t xml:space="preserve">9 </w:t>
            </w:r>
          </w:p>
        </w:tc>
        <w:tc>
          <w:tcPr>
            <w:tcW w:w="3190" w:type="dxa"/>
          </w:tcPr>
          <w:p w:rsidR="003E6D38" w:rsidRPr="00B209EA" w:rsidRDefault="003E6D38">
            <w:pPr>
              <w:pStyle w:val="a3"/>
              <w:spacing w:before="0"/>
              <w:jc w:val="center"/>
              <w:rPr>
                <w:sz w:val="36"/>
                <w:szCs w:val="36"/>
              </w:rPr>
            </w:pPr>
            <w:r w:rsidRPr="00B209EA">
              <w:rPr>
                <w:color w:val="000000"/>
                <w:kern w:val="24"/>
              </w:rPr>
              <w:t xml:space="preserve">42,11 </w:t>
            </w:r>
          </w:p>
        </w:tc>
      </w:tr>
    </w:tbl>
    <w:p w:rsidR="003E6D38" w:rsidRDefault="003E6D38" w:rsidP="009423FA">
      <w:pPr>
        <w:ind w:left="-567" w:firstLine="454"/>
        <w:jc w:val="both"/>
        <w:rPr>
          <w:sz w:val="28"/>
          <w:szCs w:val="28"/>
        </w:rPr>
      </w:pPr>
    </w:p>
    <w:p w:rsidR="009423FA" w:rsidRDefault="003E6D38" w:rsidP="009423FA">
      <w:pPr>
        <w:ind w:left="-567" w:firstLine="454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423FA">
        <w:rPr>
          <w:sz w:val="28"/>
          <w:szCs w:val="28"/>
        </w:rPr>
        <w:t>кономическо</w:t>
      </w:r>
      <w:r>
        <w:rPr>
          <w:sz w:val="28"/>
          <w:szCs w:val="28"/>
        </w:rPr>
        <w:t xml:space="preserve">е и </w:t>
      </w:r>
      <w:r w:rsidR="009423FA">
        <w:rPr>
          <w:sz w:val="28"/>
          <w:szCs w:val="28"/>
        </w:rPr>
        <w:t xml:space="preserve">социальное неравенство регионов по уровню жизни населения может сокращаться в результате масштабной перераспределительной политики государства. </w:t>
      </w:r>
      <w:r w:rsidR="00B37F63">
        <w:rPr>
          <w:sz w:val="28"/>
          <w:szCs w:val="28"/>
        </w:rPr>
        <w:t xml:space="preserve">Однако собственные доходные источники региональных и местных бюджетов в настоящее время значительно отстают от расходных обязательств. </w:t>
      </w:r>
      <w:r w:rsidR="00A346ED" w:rsidRPr="00F6185C">
        <w:rPr>
          <w:sz w:val="28"/>
          <w:szCs w:val="28"/>
        </w:rPr>
        <w:t xml:space="preserve">Наблюдающаяся в настоящее время чрезмерная централизация полномочий в сфере налогообложения на федеральном уровне значительно </w:t>
      </w:r>
      <w:r w:rsidR="00A346ED" w:rsidRPr="00F6185C">
        <w:rPr>
          <w:sz w:val="28"/>
          <w:szCs w:val="28"/>
        </w:rPr>
        <w:lastRenderedPageBreak/>
        <w:t>ограничивает самостоятельность субъектов Федерации в формировании ресурсов, необходимых для реализации собственных функций, и практически лишает их возможности управлять налоговой составляющей регионального развития.</w:t>
      </w:r>
      <w:r w:rsidR="00A346ED">
        <w:rPr>
          <w:sz w:val="28"/>
          <w:szCs w:val="28"/>
        </w:rPr>
        <w:t xml:space="preserve"> </w:t>
      </w:r>
      <w:r w:rsidR="00B37F63">
        <w:rPr>
          <w:sz w:val="28"/>
          <w:szCs w:val="28"/>
        </w:rPr>
        <w:t>А</w:t>
      </w:r>
      <w:r w:rsidR="009423FA">
        <w:rPr>
          <w:sz w:val="28"/>
          <w:szCs w:val="28"/>
        </w:rPr>
        <w:t xml:space="preserve"> рост межбюджетных трансфертов не всегда приводит к смягчению неравенства регионов по уровню жизни населения, т.к.  не в полной мере  учитываются объективные факторы и барьеры территориального развития, что снижает эффективность принимаемых решений. В результате  принимаемые меры  слабо влияют на региональные диспропорции экономического развития. </w:t>
      </w:r>
      <w:r w:rsidR="00B37F63">
        <w:rPr>
          <w:sz w:val="28"/>
          <w:szCs w:val="28"/>
        </w:rPr>
        <w:t xml:space="preserve">Примечательно, что </w:t>
      </w:r>
      <w:r w:rsidR="00B209EA">
        <w:rPr>
          <w:sz w:val="28"/>
          <w:szCs w:val="28"/>
        </w:rPr>
        <w:t xml:space="preserve">для </w:t>
      </w:r>
      <w:r w:rsidR="00B37F63">
        <w:rPr>
          <w:sz w:val="28"/>
          <w:szCs w:val="28"/>
        </w:rPr>
        <w:t xml:space="preserve">российских </w:t>
      </w:r>
      <w:r w:rsidR="00EA1676">
        <w:rPr>
          <w:sz w:val="28"/>
          <w:szCs w:val="28"/>
        </w:rPr>
        <w:t>регионов характерна прямая зависимость между размером ВРП на душу населения и показателем самообеспеченности консолидированных бюджетов (рис. 2).</w:t>
      </w:r>
    </w:p>
    <w:p w:rsidR="002616D7" w:rsidRDefault="002616D7" w:rsidP="009423FA">
      <w:pPr>
        <w:ind w:left="-567" w:firstLine="45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71429" cy="2657143"/>
            <wp:effectExtent l="19050" t="0" r="0" b="0"/>
            <wp:docPr id="1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2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799" w:rsidRPr="00F07503" w:rsidRDefault="00F07503" w:rsidP="00F07503">
      <w:pPr>
        <w:spacing w:after="120"/>
        <w:ind w:left="-1134" w:firstLine="454"/>
        <w:jc w:val="center"/>
        <w:rPr>
          <w:i/>
          <w:sz w:val="28"/>
          <w:szCs w:val="28"/>
        </w:rPr>
      </w:pPr>
      <w:r w:rsidRPr="003E6D38">
        <w:rPr>
          <w:i/>
          <w:sz w:val="28"/>
          <w:szCs w:val="28"/>
        </w:rPr>
        <w:t xml:space="preserve">Рисунок </w:t>
      </w:r>
      <w:r>
        <w:rPr>
          <w:i/>
          <w:sz w:val="28"/>
          <w:szCs w:val="28"/>
        </w:rPr>
        <w:t>2</w:t>
      </w:r>
      <w:r w:rsidRPr="003E6D38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Соотношение ВРП на душу населения и самообеспеченностью консолидированного бюджета по регионам России, 2010 г.</w:t>
      </w:r>
    </w:p>
    <w:p w:rsidR="00EA1676" w:rsidRDefault="00EA1676" w:rsidP="009423FA">
      <w:pPr>
        <w:ind w:left="-567" w:firstLine="454"/>
        <w:jc w:val="both"/>
        <w:rPr>
          <w:sz w:val="28"/>
          <w:szCs w:val="28"/>
        </w:rPr>
      </w:pPr>
      <w:r>
        <w:rPr>
          <w:sz w:val="28"/>
          <w:szCs w:val="28"/>
        </w:rPr>
        <w:t>Зависимость становится ещё более очевидной после исключения из анализа регионов, которые значительно опережают остальные по уровню ВРП на душу населения (рис. 3). Среди них г. Москва (</w:t>
      </w:r>
      <w:r w:rsidR="00B209EA">
        <w:rPr>
          <w:sz w:val="28"/>
          <w:szCs w:val="28"/>
        </w:rPr>
        <w:t xml:space="preserve">традиционное место </w:t>
      </w:r>
      <w:r>
        <w:rPr>
          <w:sz w:val="28"/>
          <w:szCs w:val="28"/>
        </w:rPr>
        <w:t>концентрации инвестиционного, банковского капитала, центр деловой активности, трудового и научного потенциала), Тюменская и Сахалинская области, Чукотский АО (наличие природных ресурсов).</w:t>
      </w:r>
    </w:p>
    <w:p w:rsidR="002616D7" w:rsidRDefault="00F07503" w:rsidP="009423FA">
      <w:pPr>
        <w:ind w:left="-567" w:firstLine="454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73945" cy="2806995"/>
            <wp:effectExtent l="19050" t="0" r="0" b="0"/>
            <wp:docPr id="13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516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503" w:rsidRDefault="00F07503" w:rsidP="00F07503">
      <w:pPr>
        <w:ind w:left="-1134" w:firstLine="454"/>
        <w:jc w:val="center"/>
        <w:rPr>
          <w:i/>
          <w:sz w:val="28"/>
          <w:szCs w:val="28"/>
        </w:rPr>
      </w:pPr>
      <w:r w:rsidRPr="003E6D38">
        <w:rPr>
          <w:i/>
          <w:sz w:val="28"/>
          <w:szCs w:val="28"/>
        </w:rPr>
        <w:t xml:space="preserve">Рисунок </w:t>
      </w:r>
      <w:r w:rsidR="00B209EA">
        <w:rPr>
          <w:i/>
          <w:sz w:val="28"/>
          <w:szCs w:val="28"/>
        </w:rPr>
        <w:t>3</w:t>
      </w:r>
      <w:r w:rsidRPr="003E6D38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Соотношение ВРП на душу населения </w:t>
      </w:r>
    </w:p>
    <w:p w:rsidR="00F07503" w:rsidRDefault="00F07503" w:rsidP="00F07503">
      <w:pPr>
        <w:ind w:left="-1134" w:firstLine="45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самообеспеченностью консолидированного бюджета по регионам России </w:t>
      </w:r>
    </w:p>
    <w:p w:rsidR="00F07503" w:rsidRPr="00F07503" w:rsidRDefault="00F07503" w:rsidP="00F07503">
      <w:pPr>
        <w:spacing w:after="120"/>
        <w:ind w:left="-1134" w:firstLine="45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без учёта наиболее обеспеченных регионов, 2010 г.</w:t>
      </w:r>
    </w:p>
    <w:p w:rsidR="00222448" w:rsidRDefault="00222448" w:rsidP="00222448">
      <w:pPr>
        <w:pStyle w:val="a3"/>
        <w:spacing w:before="0"/>
        <w:ind w:left="-567" w:firstLine="454"/>
        <w:jc w:val="both"/>
        <w:rPr>
          <w:sz w:val="28"/>
          <w:szCs w:val="28"/>
        </w:rPr>
      </w:pPr>
      <w:r w:rsidRPr="00222448">
        <w:rPr>
          <w:sz w:val="28"/>
          <w:szCs w:val="28"/>
        </w:rPr>
        <w:t xml:space="preserve">Помимо прочего, на региональном уровне фактически отсутствует научно-практический инструментарий государственного управления, что </w:t>
      </w:r>
      <w:r w:rsidR="00254F67">
        <w:rPr>
          <w:sz w:val="28"/>
          <w:szCs w:val="28"/>
        </w:rPr>
        <w:t xml:space="preserve">на практике </w:t>
      </w:r>
      <w:r w:rsidRPr="00222448">
        <w:rPr>
          <w:sz w:val="28"/>
          <w:szCs w:val="28"/>
        </w:rPr>
        <w:t>нередко приводит к проведению натурных экспериментов.</w:t>
      </w:r>
    </w:p>
    <w:p w:rsidR="00254F67" w:rsidRDefault="00254F67" w:rsidP="006F5B56">
      <w:pPr>
        <w:pStyle w:val="a3"/>
        <w:spacing w:before="0"/>
        <w:ind w:left="-567" w:firstLine="454"/>
        <w:jc w:val="both"/>
        <w:rPr>
          <w:sz w:val="28"/>
          <w:szCs w:val="28"/>
        </w:rPr>
      </w:pPr>
      <w:r w:rsidRPr="00254F67">
        <w:rPr>
          <w:b/>
          <w:sz w:val="28"/>
          <w:szCs w:val="28"/>
        </w:rPr>
        <w:t>Гипотеза 1</w:t>
      </w:r>
      <w:r>
        <w:rPr>
          <w:sz w:val="28"/>
          <w:szCs w:val="28"/>
        </w:rPr>
        <w:t xml:space="preserve"> </w:t>
      </w:r>
      <w:r w:rsidRPr="009A4FA4">
        <w:rPr>
          <w:sz w:val="28"/>
          <w:szCs w:val="28"/>
        </w:rPr>
        <w:t xml:space="preserve">– </w:t>
      </w:r>
      <w:r>
        <w:rPr>
          <w:sz w:val="28"/>
          <w:szCs w:val="28"/>
        </w:rPr>
        <w:t>существующая система налогообложения неэффективна с позиции достижения целей регионального развития</w:t>
      </w:r>
      <w:r w:rsidRPr="009A4FA4">
        <w:rPr>
          <w:sz w:val="28"/>
          <w:szCs w:val="28"/>
        </w:rPr>
        <w:t xml:space="preserve">. </w:t>
      </w:r>
    </w:p>
    <w:p w:rsidR="00254F67" w:rsidRPr="00222448" w:rsidRDefault="00254F67" w:rsidP="006F5B56">
      <w:pPr>
        <w:ind w:left="-567" w:firstLine="454"/>
        <w:jc w:val="both"/>
        <w:rPr>
          <w:sz w:val="28"/>
          <w:szCs w:val="28"/>
        </w:rPr>
      </w:pPr>
      <w:r w:rsidRPr="00254F67">
        <w:rPr>
          <w:b/>
          <w:sz w:val="28"/>
          <w:szCs w:val="28"/>
        </w:rPr>
        <w:t>Гипотеза 2</w:t>
      </w:r>
      <w:r>
        <w:rPr>
          <w:sz w:val="28"/>
          <w:szCs w:val="28"/>
        </w:rPr>
        <w:t xml:space="preserve"> – неэффективность системы налогообложения обусловлена несовершенством её структуры.</w:t>
      </w:r>
    </w:p>
    <w:p w:rsidR="00B53EC4" w:rsidRDefault="009A4FA4" w:rsidP="006F5B56">
      <w:pPr>
        <w:ind w:left="-567" w:firstLine="454"/>
        <w:jc w:val="both"/>
        <w:rPr>
          <w:sz w:val="28"/>
          <w:szCs w:val="28"/>
        </w:rPr>
      </w:pPr>
      <w:r w:rsidRPr="0090195F">
        <w:rPr>
          <w:b/>
          <w:sz w:val="28"/>
          <w:szCs w:val="28"/>
        </w:rPr>
        <w:t>Цель исследования</w:t>
      </w:r>
      <w:r w:rsidRPr="009A4FA4">
        <w:rPr>
          <w:sz w:val="28"/>
          <w:szCs w:val="28"/>
        </w:rPr>
        <w:t xml:space="preserve"> </w:t>
      </w:r>
      <w:r w:rsidR="00B53EC4">
        <w:rPr>
          <w:sz w:val="28"/>
          <w:szCs w:val="28"/>
        </w:rPr>
        <w:t>–</w:t>
      </w:r>
      <w:r w:rsidRPr="009A4FA4">
        <w:rPr>
          <w:sz w:val="28"/>
          <w:szCs w:val="28"/>
        </w:rPr>
        <w:t xml:space="preserve"> </w:t>
      </w:r>
      <w:r w:rsidR="00B53EC4">
        <w:rPr>
          <w:sz w:val="28"/>
          <w:szCs w:val="28"/>
        </w:rPr>
        <w:t>оценить воздействие налоговой системы на развитие экономики региона (на примере Новосибирской области)</w:t>
      </w:r>
      <w:r w:rsidRPr="009A4FA4">
        <w:rPr>
          <w:sz w:val="28"/>
          <w:szCs w:val="28"/>
        </w:rPr>
        <w:t>.</w:t>
      </w:r>
      <w:r w:rsidR="000C3979">
        <w:rPr>
          <w:sz w:val="28"/>
          <w:szCs w:val="28"/>
        </w:rPr>
        <w:t xml:space="preserve"> </w:t>
      </w:r>
      <w:r w:rsidR="00B53EC4">
        <w:rPr>
          <w:sz w:val="28"/>
          <w:szCs w:val="28"/>
        </w:rPr>
        <w:t>Предложить пути повышения эффективности структуры налогообложения</w:t>
      </w:r>
      <w:r w:rsidR="00254F67">
        <w:rPr>
          <w:sz w:val="28"/>
          <w:szCs w:val="28"/>
        </w:rPr>
        <w:t xml:space="preserve"> региональной экономики</w:t>
      </w:r>
      <w:r w:rsidR="00B53EC4">
        <w:rPr>
          <w:sz w:val="28"/>
          <w:szCs w:val="28"/>
        </w:rPr>
        <w:t>.</w:t>
      </w:r>
    </w:p>
    <w:p w:rsidR="009A4FA4" w:rsidRPr="009A4FA4" w:rsidRDefault="00555687" w:rsidP="006F5B56">
      <w:pPr>
        <w:ind w:left="-567" w:firstLine="4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</w:t>
      </w:r>
      <w:r w:rsidR="009A4FA4" w:rsidRPr="009A4FA4">
        <w:rPr>
          <w:b/>
          <w:bCs/>
          <w:sz w:val="28"/>
          <w:szCs w:val="28"/>
        </w:rPr>
        <w:t xml:space="preserve"> исследования</w:t>
      </w:r>
      <w:r w:rsidR="009A4FA4" w:rsidRPr="009A4FA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A4FA4" w:rsidRPr="009A4FA4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налоговое регулирование как инструмент региональной политики</w:t>
      </w:r>
      <w:r w:rsidR="009A4FA4" w:rsidRPr="009A4FA4">
        <w:rPr>
          <w:sz w:val="28"/>
          <w:szCs w:val="28"/>
        </w:rPr>
        <w:t xml:space="preserve">. </w:t>
      </w:r>
    </w:p>
    <w:p w:rsidR="009A4FA4" w:rsidRDefault="00555687" w:rsidP="006F5B56">
      <w:pPr>
        <w:ind w:left="-567" w:firstLine="4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Объект</w:t>
      </w:r>
      <w:r w:rsidR="009A4FA4" w:rsidRPr="009A4FA4">
        <w:rPr>
          <w:b/>
          <w:bCs/>
          <w:sz w:val="28"/>
          <w:szCs w:val="28"/>
        </w:rPr>
        <w:t xml:space="preserve"> исследования </w:t>
      </w:r>
      <w:r>
        <w:rPr>
          <w:sz w:val="28"/>
          <w:szCs w:val="28"/>
        </w:rPr>
        <w:t>–</w:t>
      </w:r>
      <w:r w:rsidR="009A4FA4" w:rsidRPr="009A4FA4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региональная экономика, представляющая собой относительно обособленный воспроизводственный процесс.</w:t>
      </w:r>
    </w:p>
    <w:p w:rsidR="004428B1" w:rsidRDefault="009D4735" w:rsidP="006F5B56">
      <w:pPr>
        <w:pStyle w:val="a3"/>
        <w:spacing w:before="0"/>
        <w:ind w:left="-567" w:firstLine="454"/>
        <w:jc w:val="both"/>
        <w:rPr>
          <w:sz w:val="28"/>
          <w:szCs w:val="28"/>
        </w:rPr>
      </w:pPr>
      <w:r w:rsidRPr="0002440A">
        <w:rPr>
          <w:b/>
          <w:bCs/>
          <w:sz w:val="28"/>
          <w:szCs w:val="28"/>
        </w:rPr>
        <w:t>Степень изученности темы.</w:t>
      </w:r>
      <w:r w:rsidRPr="0002440A">
        <w:rPr>
          <w:sz w:val="28"/>
          <w:szCs w:val="28"/>
        </w:rPr>
        <w:t xml:space="preserve"> </w:t>
      </w:r>
      <w:r w:rsidRPr="002552D2">
        <w:rPr>
          <w:sz w:val="28"/>
          <w:szCs w:val="28"/>
        </w:rPr>
        <w:t xml:space="preserve">Тема </w:t>
      </w:r>
      <w:r w:rsidR="00555687">
        <w:rPr>
          <w:sz w:val="28"/>
          <w:szCs w:val="28"/>
        </w:rPr>
        <w:t>недостаточно изучена как</w:t>
      </w:r>
      <w:r w:rsidRPr="002552D2">
        <w:rPr>
          <w:sz w:val="28"/>
          <w:szCs w:val="28"/>
        </w:rPr>
        <w:t xml:space="preserve"> в отечественной</w:t>
      </w:r>
      <w:r w:rsidR="00555687">
        <w:rPr>
          <w:sz w:val="28"/>
          <w:szCs w:val="28"/>
        </w:rPr>
        <w:t>, так и зарубежной</w:t>
      </w:r>
      <w:r w:rsidRPr="002552D2">
        <w:rPr>
          <w:sz w:val="28"/>
          <w:szCs w:val="28"/>
        </w:rPr>
        <w:t xml:space="preserve"> научной литературе. </w:t>
      </w:r>
      <w:r w:rsidR="00555687">
        <w:rPr>
          <w:sz w:val="28"/>
          <w:szCs w:val="28"/>
        </w:rPr>
        <w:t xml:space="preserve">Акцент в подобных исследованиях делается на </w:t>
      </w:r>
      <w:r w:rsidR="00873D82">
        <w:rPr>
          <w:sz w:val="28"/>
          <w:szCs w:val="28"/>
        </w:rPr>
        <w:t xml:space="preserve">изучение сущности процесса налогового регулирования безотносительно специфики регионального развития. </w:t>
      </w:r>
      <w:r w:rsidRPr="002552D2">
        <w:rPr>
          <w:sz w:val="28"/>
          <w:szCs w:val="28"/>
        </w:rPr>
        <w:t>Вопросы сущности, значения</w:t>
      </w:r>
      <w:r w:rsidR="00254F67">
        <w:rPr>
          <w:sz w:val="28"/>
          <w:szCs w:val="28"/>
        </w:rPr>
        <w:t xml:space="preserve"> и инструментов</w:t>
      </w:r>
      <w:r w:rsidRPr="002552D2">
        <w:rPr>
          <w:sz w:val="28"/>
          <w:szCs w:val="28"/>
        </w:rPr>
        <w:t xml:space="preserve"> </w:t>
      </w:r>
      <w:r w:rsidR="00873D82">
        <w:rPr>
          <w:sz w:val="28"/>
          <w:szCs w:val="28"/>
        </w:rPr>
        <w:t>налогового регулирования</w:t>
      </w:r>
      <w:r w:rsidRPr="002552D2">
        <w:rPr>
          <w:sz w:val="28"/>
          <w:szCs w:val="28"/>
        </w:rPr>
        <w:t xml:space="preserve"> освещены в трудах </w:t>
      </w:r>
      <w:r w:rsidR="002C177D">
        <w:rPr>
          <w:sz w:val="28"/>
          <w:szCs w:val="28"/>
        </w:rPr>
        <w:t xml:space="preserve">Балацкого Е.В., Бармина Д.А., </w:t>
      </w:r>
      <w:r w:rsidR="00873D82">
        <w:rPr>
          <w:sz w:val="28"/>
          <w:szCs w:val="28"/>
        </w:rPr>
        <w:t xml:space="preserve">Бестаева М.И., </w:t>
      </w:r>
      <w:r w:rsidR="002C177D">
        <w:rPr>
          <w:sz w:val="28"/>
          <w:szCs w:val="28"/>
        </w:rPr>
        <w:t xml:space="preserve">Бырко А.Н., </w:t>
      </w:r>
      <w:r w:rsidR="00873D82">
        <w:rPr>
          <w:sz w:val="28"/>
          <w:szCs w:val="28"/>
        </w:rPr>
        <w:t>Вазарханов</w:t>
      </w:r>
      <w:r w:rsidR="004428B1">
        <w:rPr>
          <w:sz w:val="28"/>
          <w:szCs w:val="28"/>
        </w:rPr>
        <w:t>а</w:t>
      </w:r>
      <w:r w:rsidR="002C177D">
        <w:rPr>
          <w:sz w:val="28"/>
          <w:szCs w:val="28"/>
        </w:rPr>
        <w:t xml:space="preserve"> И.С., Васильевой А.А., Виссарионова А., </w:t>
      </w:r>
      <w:r w:rsidR="00BB4465">
        <w:rPr>
          <w:sz w:val="28"/>
          <w:szCs w:val="28"/>
        </w:rPr>
        <w:t xml:space="preserve">Горбунова Э.П., Гордеевой О.П., Грицюк Т.В., </w:t>
      </w:r>
      <w:r w:rsidR="002C177D">
        <w:rPr>
          <w:sz w:val="28"/>
          <w:szCs w:val="28"/>
        </w:rPr>
        <w:t xml:space="preserve">Гусева С.И., Гурвича Е.Т., </w:t>
      </w:r>
      <w:r w:rsidR="00BB4465">
        <w:rPr>
          <w:sz w:val="28"/>
          <w:szCs w:val="28"/>
        </w:rPr>
        <w:t xml:space="preserve">Едроновой В.Н., Ермаковой Е.А., Желанновой Е.А., Журавлёвой Т.А., </w:t>
      </w:r>
      <w:r w:rsidR="002C177D">
        <w:rPr>
          <w:sz w:val="28"/>
          <w:szCs w:val="28"/>
        </w:rPr>
        <w:t xml:space="preserve">Кадочникова П., </w:t>
      </w:r>
      <w:r w:rsidR="00BB4465">
        <w:rPr>
          <w:sz w:val="28"/>
          <w:szCs w:val="28"/>
        </w:rPr>
        <w:t xml:space="preserve">Лариной Н.И., Львова Д., Махотаевой М.Ю., Николаева М.А., Миллера Н.В., Поздняковой Т.А., </w:t>
      </w:r>
      <w:r w:rsidR="002C177D">
        <w:rPr>
          <w:sz w:val="28"/>
          <w:szCs w:val="28"/>
        </w:rPr>
        <w:t xml:space="preserve">Синельникова-Мурылёва С., Трунина И., Клисторина В.И., </w:t>
      </w:r>
      <w:r w:rsidR="00BB4465">
        <w:rPr>
          <w:sz w:val="28"/>
          <w:szCs w:val="28"/>
        </w:rPr>
        <w:t xml:space="preserve">Мамыкиной Н.Н., </w:t>
      </w:r>
      <w:r w:rsidR="002C177D">
        <w:rPr>
          <w:sz w:val="28"/>
          <w:szCs w:val="28"/>
        </w:rPr>
        <w:t xml:space="preserve">Масловой Д.В., </w:t>
      </w:r>
      <w:r w:rsidR="004428B1">
        <w:rPr>
          <w:sz w:val="28"/>
          <w:szCs w:val="28"/>
        </w:rPr>
        <w:lastRenderedPageBreak/>
        <w:t xml:space="preserve">Рощупкиной В.В., Слободчикова Д.Н., </w:t>
      </w:r>
      <w:r w:rsidR="002C177D">
        <w:rPr>
          <w:sz w:val="28"/>
          <w:szCs w:val="28"/>
        </w:rPr>
        <w:t xml:space="preserve">Тривуса А.А., </w:t>
      </w:r>
      <w:r w:rsidR="00BB4465">
        <w:rPr>
          <w:sz w:val="28"/>
          <w:szCs w:val="28"/>
        </w:rPr>
        <w:t xml:space="preserve">Фёдорова И., </w:t>
      </w:r>
      <w:r w:rsidR="004428B1">
        <w:rPr>
          <w:sz w:val="28"/>
          <w:szCs w:val="28"/>
        </w:rPr>
        <w:t xml:space="preserve">Филипповича А.В., Хмелевского В.В., </w:t>
      </w:r>
      <w:r w:rsidR="002C177D">
        <w:rPr>
          <w:sz w:val="28"/>
          <w:szCs w:val="28"/>
        </w:rPr>
        <w:t>Ходов</w:t>
      </w:r>
      <w:r w:rsidR="004428B1">
        <w:rPr>
          <w:sz w:val="28"/>
          <w:szCs w:val="28"/>
        </w:rPr>
        <w:t>а</w:t>
      </w:r>
      <w:r w:rsidR="002C177D">
        <w:rPr>
          <w:sz w:val="28"/>
          <w:szCs w:val="28"/>
        </w:rPr>
        <w:t xml:space="preserve"> Л.Г., </w:t>
      </w:r>
      <w:r w:rsidR="004428B1">
        <w:rPr>
          <w:sz w:val="28"/>
          <w:szCs w:val="28"/>
        </w:rPr>
        <w:t xml:space="preserve">Чужмаровой С.И., </w:t>
      </w:r>
      <w:r w:rsidR="002C177D">
        <w:rPr>
          <w:sz w:val="28"/>
          <w:szCs w:val="28"/>
        </w:rPr>
        <w:t>Юрзиновой И.Л.</w:t>
      </w:r>
    </w:p>
    <w:p w:rsidR="009D4735" w:rsidRPr="00254F67" w:rsidRDefault="009D4735" w:rsidP="006F5B56">
      <w:pPr>
        <w:pStyle w:val="a3"/>
        <w:spacing w:before="0"/>
        <w:ind w:left="-567" w:firstLine="454"/>
        <w:jc w:val="both"/>
        <w:rPr>
          <w:sz w:val="28"/>
          <w:szCs w:val="28"/>
          <w:lang w:val="en-US"/>
        </w:rPr>
      </w:pPr>
      <w:r w:rsidRPr="002552D2">
        <w:rPr>
          <w:sz w:val="28"/>
          <w:szCs w:val="28"/>
        </w:rPr>
        <w:t xml:space="preserve">В области </w:t>
      </w:r>
      <w:r w:rsidR="004428B1">
        <w:rPr>
          <w:sz w:val="28"/>
          <w:szCs w:val="28"/>
        </w:rPr>
        <w:t>налогового регулирования региональной экономики</w:t>
      </w:r>
      <w:r w:rsidRPr="002552D2">
        <w:rPr>
          <w:sz w:val="28"/>
          <w:szCs w:val="28"/>
        </w:rPr>
        <w:t xml:space="preserve"> большое значение имеют труды </w:t>
      </w:r>
      <w:r>
        <w:rPr>
          <w:sz w:val="28"/>
          <w:szCs w:val="28"/>
        </w:rPr>
        <w:t xml:space="preserve">зарубежных авторов: </w:t>
      </w:r>
      <w:r w:rsidR="004428B1" w:rsidRPr="00254F67">
        <w:rPr>
          <w:sz w:val="28"/>
          <w:szCs w:val="28"/>
        </w:rPr>
        <w:t>Ананиашвили Ю.Ш., Аткинсон</w:t>
      </w:r>
      <w:r w:rsidR="00C457E6" w:rsidRPr="00254F67">
        <w:rPr>
          <w:sz w:val="28"/>
          <w:szCs w:val="28"/>
        </w:rPr>
        <w:t xml:space="preserve">а </w:t>
      </w:r>
      <w:r w:rsidR="004428B1" w:rsidRPr="00254F67">
        <w:rPr>
          <w:sz w:val="28"/>
          <w:szCs w:val="28"/>
        </w:rPr>
        <w:t>Э.Б.</w:t>
      </w:r>
      <w:r w:rsidR="00C457E6" w:rsidRPr="00254F67">
        <w:rPr>
          <w:sz w:val="28"/>
          <w:szCs w:val="28"/>
        </w:rPr>
        <w:t>,</w:t>
      </w:r>
      <w:r w:rsidR="004428B1" w:rsidRPr="00254F67">
        <w:rPr>
          <w:sz w:val="28"/>
          <w:szCs w:val="28"/>
        </w:rPr>
        <w:t xml:space="preserve"> Бецси З., </w:t>
      </w:r>
      <w:r w:rsidR="00C457E6" w:rsidRPr="00254F67">
        <w:rPr>
          <w:sz w:val="28"/>
          <w:szCs w:val="28"/>
        </w:rPr>
        <w:t xml:space="preserve">Вельфенса П., </w:t>
      </w:r>
      <w:r w:rsidRPr="00254F67">
        <w:rPr>
          <w:sz w:val="28"/>
          <w:szCs w:val="28"/>
        </w:rPr>
        <w:t xml:space="preserve">Гурвица Л., </w:t>
      </w:r>
      <w:r w:rsidR="00C457E6" w:rsidRPr="00254F67">
        <w:rPr>
          <w:sz w:val="28"/>
          <w:szCs w:val="28"/>
        </w:rPr>
        <w:t xml:space="preserve">Джесински П., </w:t>
      </w:r>
      <w:r w:rsidR="004428B1" w:rsidRPr="00254F67">
        <w:rPr>
          <w:sz w:val="28"/>
          <w:szCs w:val="28"/>
        </w:rPr>
        <w:t>Кейнс</w:t>
      </w:r>
      <w:r w:rsidR="00C457E6" w:rsidRPr="00254F67">
        <w:rPr>
          <w:sz w:val="28"/>
          <w:szCs w:val="28"/>
        </w:rPr>
        <w:t>а</w:t>
      </w:r>
      <w:r w:rsidR="004428B1" w:rsidRPr="00254F67">
        <w:rPr>
          <w:sz w:val="28"/>
          <w:szCs w:val="28"/>
        </w:rPr>
        <w:t xml:space="preserve"> Д.М.</w:t>
      </w:r>
      <w:r w:rsidR="00C457E6" w:rsidRPr="00254F67">
        <w:rPr>
          <w:sz w:val="28"/>
          <w:szCs w:val="28"/>
        </w:rPr>
        <w:t>,</w:t>
      </w:r>
      <w:r w:rsidR="004428B1" w:rsidRPr="00254F67">
        <w:rPr>
          <w:sz w:val="28"/>
          <w:szCs w:val="28"/>
        </w:rPr>
        <w:t xml:space="preserve"> </w:t>
      </w:r>
      <w:r w:rsidR="00C457E6" w:rsidRPr="00254F67">
        <w:rPr>
          <w:sz w:val="28"/>
          <w:szCs w:val="28"/>
        </w:rPr>
        <w:t xml:space="preserve">Мённиг А., Мура М.Л., Папавы В.Г., Свенсона К. В., </w:t>
      </w:r>
      <w:r w:rsidR="004428B1" w:rsidRPr="00254F67">
        <w:rPr>
          <w:sz w:val="28"/>
          <w:szCs w:val="28"/>
        </w:rPr>
        <w:t>Стиглиц</w:t>
      </w:r>
      <w:r w:rsidR="00C457E6" w:rsidRPr="00254F67">
        <w:rPr>
          <w:sz w:val="28"/>
          <w:szCs w:val="28"/>
        </w:rPr>
        <w:t>а</w:t>
      </w:r>
      <w:r w:rsidR="004428B1" w:rsidRPr="00254F67">
        <w:rPr>
          <w:sz w:val="28"/>
          <w:szCs w:val="28"/>
        </w:rPr>
        <w:t xml:space="preserve"> Д.Ю.</w:t>
      </w:r>
      <w:r w:rsidR="00C457E6" w:rsidRPr="00254F67">
        <w:rPr>
          <w:sz w:val="28"/>
          <w:szCs w:val="28"/>
        </w:rPr>
        <w:t>,</w:t>
      </w:r>
      <w:r w:rsidR="004428B1" w:rsidRPr="00254F67">
        <w:rPr>
          <w:sz w:val="28"/>
          <w:szCs w:val="28"/>
        </w:rPr>
        <w:t xml:space="preserve"> </w:t>
      </w:r>
      <w:r w:rsidRPr="00254F67">
        <w:rPr>
          <w:sz w:val="28"/>
          <w:szCs w:val="28"/>
        </w:rPr>
        <w:t>Сэвид</w:t>
      </w:r>
      <w:r w:rsidR="00C457E6" w:rsidRPr="00254F67">
        <w:rPr>
          <w:sz w:val="28"/>
          <w:szCs w:val="28"/>
        </w:rPr>
        <w:t>жа Л., Томаса Р., Паррамоуза К. и др.</w:t>
      </w:r>
    </w:p>
    <w:p w:rsidR="003132D4" w:rsidRPr="002552D2" w:rsidRDefault="003132D4" w:rsidP="006F5B56">
      <w:pPr>
        <w:pStyle w:val="a3"/>
        <w:spacing w:before="0"/>
        <w:ind w:left="-567" w:firstLine="454"/>
        <w:jc w:val="both"/>
        <w:rPr>
          <w:sz w:val="28"/>
          <w:szCs w:val="28"/>
        </w:rPr>
      </w:pPr>
      <w:r w:rsidRPr="002552D2">
        <w:rPr>
          <w:sz w:val="28"/>
          <w:szCs w:val="28"/>
        </w:rPr>
        <w:t xml:space="preserve">Существенное значение в рамках исследуемой тематики </w:t>
      </w:r>
      <w:r>
        <w:rPr>
          <w:sz w:val="28"/>
          <w:szCs w:val="28"/>
        </w:rPr>
        <w:t>имеют труды</w:t>
      </w:r>
      <w:r w:rsidRPr="002552D2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>региональной экономики, регионалистики и регионоведения</w:t>
      </w:r>
      <w:r w:rsidRPr="002552D2"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Среди них необходимо выделить </w:t>
      </w:r>
      <w:r w:rsidR="00254F67">
        <w:rPr>
          <w:rFonts w:eastAsiaTheme="minorHAnsi"/>
          <w:sz w:val="28"/>
          <w:szCs w:val="28"/>
        </w:rPr>
        <w:t>работы</w:t>
      </w:r>
      <w:r>
        <w:rPr>
          <w:rFonts w:eastAsiaTheme="minorHAnsi"/>
          <w:sz w:val="28"/>
          <w:szCs w:val="28"/>
        </w:rPr>
        <w:t xml:space="preserve"> Бандмана М.К., Гранберга А.Г., Лексина В.Н., </w:t>
      </w:r>
      <w:r w:rsidR="00CB36D7">
        <w:rPr>
          <w:rFonts w:eastAsiaTheme="minorHAnsi"/>
          <w:sz w:val="28"/>
          <w:szCs w:val="28"/>
        </w:rPr>
        <w:t xml:space="preserve">Марчук Е.А., </w:t>
      </w:r>
      <w:r>
        <w:rPr>
          <w:rFonts w:eastAsiaTheme="minorHAnsi"/>
          <w:sz w:val="28"/>
          <w:szCs w:val="28"/>
        </w:rPr>
        <w:t xml:space="preserve">Маршаловой А.С., </w:t>
      </w:r>
      <w:r w:rsidR="00CB36D7">
        <w:rPr>
          <w:rFonts w:eastAsiaTheme="minorHAnsi"/>
          <w:sz w:val="28"/>
          <w:szCs w:val="28"/>
        </w:rPr>
        <w:t xml:space="preserve">Новосёлова А.С., </w:t>
      </w:r>
      <w:r>
        <w:rPr>
          <w:rFonts w:eastAsiaTheme="minorHAnsi"/>
          <w:sz w:val="28"/>
          <w:szCs w:val="28"/>
        </w:rPr>
        <w:t>Селиверстова В.Е., Суспицына С.А., Швецова А.Н., Шнипера Р.И.</w:t>
      </w:r>
      <w:r w:rsidR="00CB36D7">
        <w:rPr>
          <w:rFonts w:eastAsiaTheme="minorHAnsi"/>
          <w:sz w:val="28"/>
          <w:szCs w:val="28"/>
        </w:rPr>
        <w:t xml:space="preserve"> и др.</w:t>
      </w:r>
    </w:p>
    <w:p w:rsidR="0048729E" w:rsidRPr="0048729E" w:rsidRDefault="009A4FA4" w:rsidP="006F5B56">
      <w:pPr>
        <w:ind w:left="-567" w:firstLine="454"/>
        <w:jc w:val="both"/>
        <w:rPr>
          <w:sz w:val="28"/>
          <w:szCs w:val="28"/>
        </w:rPr>
      </w:pPr>
      <w:r w:rsidRPr="007C1DFB">
        <w:rPr>
          <w:b/>
          <w:sz w:val="28"/>
          <w:szCs w:val="28"/>
        </w:rPr>
        <w:t>Теоретико-методологической базой исследования</w:t>
      </w:r>
      <w:r>
        <w:rPr>
          <w:sz w:val="28"/>
          <w:szCs w:val="28"/>
        </w:rPr>
        <w:t xml:space="preserve"> послужили</w:t>
      </w:r>
      <w:r w:rsidR="0048729E">
        <w:rPr>
          <w:sz w:val="28"/>
          <w:szCs w:val="28"/>
        </w:rPr>
        <w:t xml:space="preserve"> </w:t>
      </w:r>
      <w:r w:rsidR="0048729E" w:rsidRPr="0048729E">
        <w:rPr>
          <w:sz w:val="28"/>
          <w:szCs w:val="28"/>
        </w:rPr>
        <w:t xml:space="preserve">труды </w:t>
      </w:r>
      <w:r w:rsidR="0048729E">
        <w:rPr>
          <w:sz w:val="28"/>
          <w:szCs w:val="28"/>
        </w:rPr>
        <w:t xml:space="preserve">отечественных и зарубежных </w:t>
      </w:r>
      <w:r w:rsidR="0048729E" w:rsidRPr="0048729E">
        <w:rPr>
          <w:sz w:val="28"/>
          <w:szCs w:val="28"/>
        </w:rPr>
        <w:t xml:space="preserve">ученых–экономистов в сфере финансов, </w:t>
      </w:r>
      <w:r w:rsidR="00CB36D7">
        <w:rPr>
          <w:sz w:val="28"/>
          <w:szCs w:val="28"/>
        </w:rPr>
        <w:t>региональной экономики и эконометрики</w:t>
      </w:r>
      <w:r w:rsidR="0048729E" w:rsidRPr="0048729E">
        <w:rPr>
          <w:sz w:val="28"/>
          <w:szCs w:val="28"/>
        </w:rPr>
        <w:t>, статьи в научных сборниках и периодической печати по пробл</w:t>
      </w:r>
      <w:r w:rsidR="007C1DFB">
        <w:rPr>
          <w:sz w:val="28"/>
          <w:szCs w:val="28"/>
        </w:rPr>
        <w:t>емам налогообложения.</w:t>
      </w:r>
    </w:p>
    <w:p w:rsidR="00175CE4" w:rsidRPr="00175CE4" w:rsidRDefault="00175CE4" w:rsidP="006F5B56">
      <w:pPr>
        <w:autoSpaceDE w:val="0"/>
        <w:autoSpaceDN w:val="0"/>
        <w:adjustRightInd w:val="0"/>
        <w:ind w:left="-567" w:firstLine="454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175CE4">
        <w:rPr>
          <w:rFonts w:ascii="TimesNewRoman" w:eastAsiaTheme="minorHAnsi" w:hAnsi="TimesNewRoman" w:cs="TimesNewRoman"/>
          <w:b/>
          <w:bCs/>
          <w:sz w:val="28"/>
          <w:szCs w:val="28"/>
          <w:lang w:eastAsia="en-US"/>
        </w:rPr>
        <w:t>Информационно-эмпирическая база исследования</w:t>
      </w:r>
      <w:r w:rsidRPr="00175CE4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- материалы Федеральной службы государственной статистики РФ, Федеральной налоговой службы России, Министерства финансов и налоговой политики Правительства Новосибирской области, Министерства экономического развития РФ, Министерства финансов РФ, Федерального казначейства РФ, данные официальных сетевых ресурсов, материалы научно-практических конференций и периодической печати, личные наблюдения автора. </w:t>
      </w:r>
    </w:p>
    <w:p w:rsidR="0048729E" w:rsidRDefault="00C97F70" w:rsidP="006F5B56">
      <w:pPr>
        <w:autoSpaceDE w:val="0"/>
        <w:autoSpaceDN w:val="0"/>
        <w:adjustRightInd w:val="0"/>
        <w:ind w:left="-567" w:firstLine="454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Воздействие исследователя на объект исследования осуществляется с помощью специальных инструментов – </w:t>
      </w:r>
      <w:r w:rsidRPr="007C1DFB">
        <w:rPr>
          <w:rFonts w:ascii="TimesNewRoman" w:eastAsiaTheme="minorHAnsi" w:hAnsi="TimesNewRoman" w:cs="TimesNewRoman"/>
          <w:b/>
          <w:sz w:val="28"/>
          <w:szCs w:val="28"/>
          <w:lang w:eastAsia="en-US"/>
        </w:rPr>
        <w:t>методов научного исследования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. На разных этапах работы применялись</w:t>
      </w:r>
      <w:r w:rsidR="007C1DFB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>аналитический, монографический, экономико-статистический, абстрактно-логический, сравнительный, экономико-математические методы с их многообразными алгоритмами и приемами.</w:t>
      </w:r>
    </w:p>
    <w:p w:rsidR="005117CE" w:rsidRDefault="005117CE" w:rsidP="006F5B56">
      <w:pPr>
        <w:ind w:left="-567" w:firstLine="454"/>
        <w:jc w:val="both"/>
        <w:rPr>
          <w:sz w:val="28"/>
        </w:rPr>
      </w:pPr>
      <w:r w:rsidRPr="005117CE">
        <w:rPr>
          <w:b/>
          <w:bCs/>
          <w:sz w:val="28"/>
        </w:rPr>
        <w:t>Научная новизна</w:t>
      </w:r>
      <w:r w:rsidRPr="005117CE">
        <w:rPr>
          <w:sz w:val="28"/>
        </w:rPr>
        <w:t xml:space="preserve">: предложена методика </w:t>
      </w:r>
      <w:r w:rsidR="00CB36D7">
        <w:rPr>
          <w:sz w:val="28"/>
        </w:rPr>
        <w:t xml:space="preserve">анализа </w:t>
      </w:r>
      <w:r w:rsidR="00254F67">
        <w:rPr>
          <w:sz w:val="28"/>
        </w:rPr>
        <w:t xml:space="preserve">эффективности </w:t>
      </w:r>
      <w:r w:rsidR="006F5B56">
        <w:rPr>
          <w:sz w:val="28"/>
        </w:rPr>
        <w:t>структуры регионального налогообложения</w:t>
      </w:r>
      <w:r w:rsidR="007C1DFB">
        <w:rPr>
          <w:sz w:val="28"/>
        </w:rPr>
        <w:t>.</w:t>
      </w:r>
      <w:r w:rsidR="00CB36D7">
        <w:rPr>
          <w:sz w:val="28"/>
        </w:rPr>
        <w:t xml:space="preserve"> Доказан тезис о неэффективности налогообложения на региональном уровне.</w:t>
      </w:r>
      <w:r w:rsidR="006E68B5">
        <w:rPr>
          <w:sz w:val="28"/>
        </w:rPr>
        <w:t xml:space="preserve"> Выявлены резервы для повышения эффективности регионального налогообложения за счёт структурных преобразований регионального налогообложения.</w:t>
      </w:r>
    </w:p>
    <w:p w:rsidR="005117CE" w:rsidRPr="005117CE" w:rsidRDefault="005117CE" w:rsidP="006F5B56">
      <w:pPr>
        <w:ind w:left="-567" w:firstLine="454"/>
        <w:jc w:val="both"/>
        <w:rPr>
          <w:sz w:val="28"/>
        </w:rPr>
      </w:pPr>
      <w:r w:rsidRPr="005117CE">
        <w:rPr>
          <w:b/>
          <w:bCs/>
          <w:sz w:val="28"/>
        </w:rPr>
        <w:t>Теоретическая значимость исследования</w:t>
      </w:r>
      <w:r w:rsidRPr="005117CE">
        <w:rPr>
          <w:sz w:val="28"/>
        </w:rPr>
        <w:t xml:space="preserve">: разработан механизм, позволяющий </w:t>
      </w:r>
      <w:r w:rsidR="006E68B5">
        <w:rPr>
          <w:sz w:val="28"/>
        </w:rPr>
        <w:t>проанализировать эффективность структуры регионального налогообложения.</w:t>
      </w:r>
    </w:p>
    <w:p w:rsidR="005117CE" w:rsidRDefault="005117CE" w:rsidP="006F5B56">
      <w:pPr>
        <w:ind w:left="-567" w:firstLine="454"/>
        <w:jc w:val="both"/>
        <w:rPr>
          <w:sz w:val="28"/>
        </w:rPr>
      </w:pPr>
      <w:r w:rsidRPr="005117CE">
        <w:rPr>
          <w:b/>
          <w:bCs/>
          <w:sz w:val="28"/>
        </w:rPr>
        <w:t>Практическая значимость исследования</w:t>
      </w:r>
      <w:r w:rsidRPr="005117CE">
        <w:rPr>
          <w:sz w:val="28"/>
        </w:rPr>
        <w:t>: результаты можно использовать как статистически обработанные экспертные выводы в процессах принятия решения на уровне субъектов Федерации. Выработанная методика предназначена для сотрудников Министерства финансов и налоговой политики Правительства Новосибирской области для совершенствования структуры и функционирования системы налогового регулирования. Методика может быть также использована сотрудниками территориальных подразделений Федеральной налоговой службы в процесс</w:t>
      </w:r>
      <w:r w:rsidR="005B04F9">
        <w:rPr>
          <w:sz w:val="28"/>
        </w:rPr>
        <w:t>е налогового администрирования.</w:t>
      </w:r>
    </w:p>
    <w:p w:rsidR="005B04F9" w:rsidRDefault="005B04F9" w:rsidP="006F5B56">
      <w:pPr>
        <w:spacing w:after="120"/>
        <w:ind w:left="-567" w:firstLine="454"/>
        <w:jc w:val="both"/>
        <w:rPr>
          <w:sz w:val="28"/>
        </w:rPr>
      </w:pPr>
      <w:r>
        <w:rPr>
          <w:b/>
          <w:bCs/>
          <w:sz w:val="28"/>
        </w:rPr>
        <w:lastRenderedPageBreak/>
        <w:t>Апробация и внедрение результатов исследования</w:t>
      </w:r>
      <w:r w:rsidRPr="005B04F9">
        <w:rPr>
          <w:sz w:val="28"/>
        </w:rPr>
        <w:t>.</w:t>
      </w:r>
      <w:r>
        <w:rPr>
          <w:sz w:val="28"/>
        </w:rPr>
        <w:t xml:space="preserve"> Основные положения исследования представлялись обсуждение конференций различного уровня, по теме исследования опубликовано 5 научных статей и тезисов общим объёмом 1,67 п.л., в том числе 1 работа в издании, рекомендованном ВАК.</w:t>
      </w:r>
    </w:p>
    <w:p w:rsidR="005B04F9" w:rsidRPr="006F5B56" w:rsidRDefault="00A346ED" w:rsidP="006F5B56">
      <w:pPr>
        <w:ind w:left="-567" w:firstLine="454"/>
        <w:jc w:val="both"/>
        <w:rPr>
          <w:b/>
          <w:sz w:val="28"/>
        </w:rPr>
      </w:pPr>
      <w:r w:rsidRPr="006F5B56">
        <w:rPr>
          <w:b/>
          <w:sz w:val="28"/>
          <w:lang w:val="en-US"/>
        </w:rPr>
        <w:t>II.</w:t>
      </w:r>
      <w:r w:rsidRPr="006F5B56">
        <w:rPr>
          <w:b/>
          <w:sz w:val="28"/>
        </w:rPr>
        <w:t xml:space="preserve"> ОСНОВНОЕ СОДЕРЖАНИЕ РАБОТЫ</w:t>
      </w:r>
    </w:p>
    <w:p w:rsidR="00A346ED" w:rsidRPr="00F6185C" w:rsidRDefault="00A346ED" w:rsidP="006F5B56">
      <w:pPr>
        <w:ind w:left="-567" w:firstLine="454"/>
        <w:jc w:val="both"/>
        <w:rPr>
          <w:sz w:val="28"/>
          <w:szCs w:val="28"/>
        </w:rPr>
      </w:pPr>
      <w:r w:rsidRPr="00F6185C">
        <w:rPr>
          <w:sz w:val="28"/>
          <w:szCs w:val="28"/>
        </w:rPr>
        <w:t xml:space="preserve">В </w:t>
      </w:r>
      <w:r>
        <w:rPr>
          <w:sz w:val="28"/>
          <w:szCs w:val="28"/>
        </w:rPr>
        <w:t>настоящее</w:t>
      </w:r>
      <w:r w:rsidRPr="00F6185C">
        <w:rPr>
          <w:sz w:val="28"/>
          <w:szCs w:val="28"/>
        </w:rPr>
        <w:t xml:space="preserve"> время  региональные  органы власти не в полной мере используют имеющиеся возможности ме</w:t>
      </w:r>
      <w:r>
        <w:rPr>
          <w:sz w:val="28"/>
          <w:szCs w:val="28"/>
        </w:rPr>
        <w:t xml:space="preserve">ханизмов  налогообложения   для </w:t>
      </w:r>
      <w:r w:rsidR="006F5B56">
        <w:rPr>
          <w:sz w:val="28"/>
          <w:szCs w:val="28"/>
        </w:rPr>
        <w:t xml:space="preserve">стимулирования  бизнеса, </w:t>
      </w:r>
      <w:r w:rsidRPr="00F6185C">
        <w:rPr>
          <w:sz w:val="28"/>
          <w:szCs w:val="28"/>
        </w:rPr>
        <w:t>роста инвестиционной привлекательности  региона</w:t>
      </w:r>
      <w:r w:rsidR="006F5B56">
        <w:rPr>
          <w:sz w:val="28"/>
          <w:szCs w:val="28"/>
        </w:rPr>
        <w:t xml:space="preserve"> и повышения уровня жизни населения</w:t>
      </w:r>
      <w:r w:rsidRPr="00F6185C">
        <w:rPr>
          <w:sz w:val="28"/>
          <w:szCs w:val="28"/>
        </w:rPr>
        <w:t xml:space="preserve">. </w:t>
      </w:r>
    </w:p>
    <w:p w:rsidR="00A346ED" w:rsidRPr="00F6185C" w:rsidRDefault="00A346ED" w:rsidP="006F5B56">
      <w:pPr>
        <w:ind w:left="-567" w:firstLine="454"/>
        <w:jc w:val="both"/>
        <w:rPr>
          <w:sz w:val="28"/>
          <w:szCs w:val="28"/>
        </w:rPr>
      </w:pPr>
      <w:r w:rsidRPr="00F6185C">
        <w:rPr>
          <w:sz w:val="28"/>
          <w:szCs w:val="28"/>
        </w:rPr>
        <w:t xml:space="preserve">При разработке региональная налоговой политики  должны учитываться  различия в социально-экономическом развитии, рыночная  специализация, уровень накопленного производственного потенциала и перспективы социально-экономического развития региона. Отмеченные обстоятельства  обусловливают необходимость разработки качественно нового, дифференцированного подхода к формированию региональной налоговой политике и  методов её  обоснования. </w:t>
      </w:r>
    </w:p>
    <w:p w:rsidR="00A346ED" w:rsidRDefault="00A346ED" w:rsidP="006F5B56">
      <w:pPr>
        <w:ind w:left="-567" w:firstLine="454"/>
        <w:jc w:val="both"/>
        <w:rPr>
          <w:sz w:val="28"/>
        </w:rPr>
      </w:pPr>
      <w:r>
        <w:rPr>
          <w:sz w:val="28"/>
        </w:rPr>
        <w:t>Цели и инструменты налоговой политики, проводимой органами государственной власти регионального уровня</w:t>
      </w:r>
      <w:r w:rsidR="006F5B56">
        <w:rPr>
          <w:sz w:val="28"/>
        </w:rPr>
        <w:t>,</w:t>
      </w:r>
      <w:r>
        <w:rPr>
          <w:sz w:val="28"/>
        </w:rPr>
        <w:t xml:space="preserve"> необходимо рассматривать в системной взаимосвязи с </w:t>
      </w:r>
      <w:r w:rsidR="00C565D6">
        <w:rPr>
          <w:sz w:val="28"/>
        </w:rPr>
        <w:t xml:space="preserve">другими видами региональной политики, поскольку только таким образом возможно достижение </w:t>
      </w:r>
      <w:r w:rsidR="00C565D6" w:rsidRPr="006F5B56">
        <w:rPr>
          <w:i/>
          <w:sz w:val="28"/>
        </w:rPr>
        <w:t>итогового</w:t>
      </w:r>
      <w:r w:rsidR="00C565D6">
        <w:rPr>
          <w:sz w:val="28"/>
        </w:rPr>
        <w:t xml:space="preserve"> положительного эффекта от воздействия на региональную систему</w:t>
      </w:r>
      <w:r w:rsidR="006F5B56">
        <w:rPr>
          <w:sz w:val="28"/>
        </w:rPr>
        <w:t xml:space="preserve"> (рис. 4)</w:t>
      </w:r>
      <w:r w:rsidR="00C565D6">
        <w:rPr>
          <w:sz w:val="28"/>
        </w:rPr>
        <w:t>.</w:t>
      </w:r>
    </w:p>
    <w:p w:rsidR="00C77A57" w:rsidRPr="0048729E" w:rsidRDefault="006F5B56" w:rsidP="00C97F70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noProof/>
          <w:sz w:val="28"/>
          <w:szCs w:val="28"/>
        </w:rPr>
        <w:pict>
          <v:shape id="_x0000_s1039" type="#_x0000_t202" style="position:absolute;margin-left:291.8pt;margin-top:-.45pt;width:185.65pt;height:23.25pt;z-index:251672576;mso-width-relative:margin;mso-height-relative:margin;v-text-anchor:middle">
            <v:textbox>
              <w:txbxContent>
                <w:p w:rsidR="0006600C" w:rsidRDefault="0006600C" w:rsidP="00645B81">
                  <w:pPr>
                    <w:jc w:val="center"/>
                  </w:pPr>
                  <w:r>
                    <w:t>Инвестиционная политика</w:t>
                  </w:r>
                </w:p>
              </w:txbxContent>
            </v:textbox>
          </v:shape>
        </w:pict>
      </w:r>
      <w:r>
        <w:rPr>
          <w:rFonts w:ascii="TimesNewRoman" w:eastAsiaTheme="minorHAnsi" w:hAnsi="TimesNewRoman" w:cs="TimesNewRoman"/>
          <w:noProof/>
          <w:sz w:val="28"/>
          <w:szCs w:val="28"/>
        </w:rPr>
        <w:pict>
          <v:shape id="_x0000_s1040" type="#_x0000_t202" style="position:absolute;margin-left:291.8pt;margin-top:22.8pt;width:185.5pt;height:109.7pt;z-index:251673600;mso-width-relative:margin;mso-height-relative:margin;v-text-anchor:middle">
            <v:textbox>
              <w:txbxContent>
                <w:p w:rsidR="0006600C" w:rsidRDefault="0006600C" w:rsidP="00645B81">
                  <w:pPr>
                    <w:pStyle w:val="af1"/>
                    <w:numPr>
                      <w:ilvl w:val="0"/>
                      <w:numId w:val="5"/>
                    </w:numPr>
                    <w:ind w:left="0" w:firstLine="113"/>
                  </w:pPr>
                  <w:r>
                    <w:t>структурная перестройка региональной экономики;</w:t>
                  </w:r>
                </w:p>
                <w:p w:rsidR="0006600C" w:rsidRDefault="0006600C" w:rsidP="00FA345C">
                  <w:pPr>
                    <w:pStyle w:val="af1"/>
                    <w:numPr>
                      <w:ilvl w:val="0"/>
                      <w:numId w:val="5"/>
                    </w:numPr>
                    <w:ind w:left="0" w:firstLine="113"/>
                  </w:pPr>
                  <w:r>
                    <w:t>увеличение собственных финансовых ресурсов региона;</w:t>
                  </w:r>
                </w:p>
                <w:p w:rsidR="0006600C" w:rsidRDefault="0006600C" w:rsidP="00645B81">
                  <w:pPr>
                    <w:pStyle w:val="af1"/>
                    <w:numPr>
                      <w:ilvl w:val="0"/>
                      <w:numId w:val="5"/>
                    </w:numPr>
                    <w:ind w:left="0" w:firstLine="113"/>
                  </w:pPr>
                  <w:r>
                    <w:t>инновационное развитие</w:t>
                  </w:r>
                </w:p>
              </w:txbxContent>
            </v:textbox>
          </v:shape>
        </w:pict>
      </w:r>
      <w:r>
        <w:rPr>
          <w:rFonts w:ascii="TimesNewRoman" w:eastAsiaTheme="minorHAnsi" w:hAnsi="TimesNewRoman" w:cs="TimesNewRoman"/>
          <w:noProof/>
          <w:sz w:val="28"/>
          <w:szCs w:val="28"/>
        </w:rPr>
        <w:pict>
          <v:shape id="_x0000_s1037" type="#_x0000_t202" style="position:absolute;margin-left:-40.3pt;margin-top:-.45pt;width:185.65pt;height:23.25pt;z-index:251670528;mso-width-relative:margin;mso-height-relative:margin;v-text-anchor:middle">
            <v:textbox>
              <w:txbxContent>
                <w:p w:rsidR="0006600C" w:rsidRDefault="0006600C" w:rsidP="00645B81">
                  <w:pPr>
                    <w:jc w:val="center"/>
                  </w:pPr>
                  <w:r>
                    <w:t>Бюджетная политика</w:t>
                  </w:r>
                </w:p>
              </w:txbxContent>
            </v:textbox>
          </v:shape>
        </w:pict>
      </w:r>
      <w:r>
        <w:rPr>
          <w:rFonts w:ascii="TimesNewRoman" w:eastAsiaTheme="minorHAnsi" w:hAnsi="TimesNewRoman" w:cs="TimesNewRoman"/>
          <w:noProof/>
          <w:sz w:val="28"/>
          <w:szCs w:val="28"/>
        </w:rPr>
        <w:pict>
          <v:shape id="_x0000_s1038" type="#_x0000_t202" style="position:absolute;margin-left:-40.3pt;margin-top:22.8pt;width:185.5pt;height:109.7pt;z-index:251671552;mso-width-relative:margin;mso-height-relative:margin">
            <v:textbox>
              <w:txbxContent>
                <w:p w:rsidR="0006600C" w:rsidRDefault="0006600C" w:rsidP="00645B81">
                  <w:pPr>
                    <w:pStyle w:val="af1"/>
                    <w:numPr>
                      <w:ilvl w:val="0"/>
                      <w:numId w:val="5"/>
                    </w:numPr>
                    <w:ind w:left="0" w:firstLine="113"/>
                  </w:pPr>
                  <w:r>
                    <w:t>увеличение собственных финансовых ресурсов региона;</w:t>
                  </w:r>
                </w:p>
                <w:p w:rsidR="0006600C" w:rsidRDefault="0006600C" w:rsidP="00645B81">
                  <w:pPr>
                    <w:pStyle w:val="af1"/>
                    <w:numPr>
                      <w:ilvl w:val="0"/>
                      <w:numId w:val="5"/>
                    </w:numPr>
                    <w:ind w:left="0" w:firstLine="113"/>
                  </w:pPr>
                  <w:r>
                    <w:t>формирование инвестиционных ресурсов региона;</w:t>
                  </w:r>
                </w:p>
                <w:p w:rsidR="0006600C" w:rsidRDefault="0006600C" w:rsidP="00645B81">
                  <w:pPr>
                    <w:pStyle w:val="af1"/>
                    <w:numPr>
                      <w:ilvl w:val="0"/>
                      <w:numId w:val="5"/>
                    </w:numPr>
                    <w:ind w:left="0" w:firstLine="113"/>
                  </w:pPr>
                  <w:r>
                    <w:t>улучшение социального обеспечения</w:t>
                  </w:r>
                </w:p>
              </w:txbxContent>
            </v:textbox>
          </v:shape>
        </w:pict>
      </w:r>
    </w:p>
    <w:p w:rsidR="009A4FA4" w:rsidRPr="009A4FA4" w:rsidRDefault="009A4FA4" w:rsidP="009A4FA4">
      <w:pPr>
        <w:spacing w:line="360" w:lineRule="auto"/>
        <w:jc w:val="both"/>
        <w:rPr>
          <w:sz w:val="28"/>
          <w:szCs w:val="28"/>
        </w:rPr>
      </w:pPr>
    </w:p>
    <w:p w:rsidR="006C7247" w:rsidRDefault="004C6F0D" w:rsidP="00D1652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45.2pt;margin-top:2.1pt;width:146.45pt;height:0;z-index:251685888" o:connectortype="straight">
            <v:stroke startarrow="block" endarrow="block"/>
          </v:shape>
        </w:pict>
      </w:r>
    </w:p>
    <w:p w:rsidR="006C7247" w:rsidRPr="006C7247" w:rsidRDefault="006C7247" w:rsidP="006C7247">
      <w:pPr>
        <w:rPr>
          <w:sz w:val="28"/>
          <w:szCs w:val="28"/>
        </w:rPr>
      </w:pPr>
    </w:p>
    <w:p w:rsidR="006C7247" w:rsidRPr="006C7247" w:rsidRDefault="006C7247" w:rsidP="006C7247">
      <w:pPr>
        <w:rPr>
          <w:sz w:val="28"/>
          <w:szCs w:val="28"/>
        </w:rPr>
      </w:pPr>
    </w:p>
    <w:p w:rsidR="006C7247" w:rsidRPr="006C7247" w:rsidRDefault="006C7247" w:rsidP="006C7247">
      <w:pPr>
        <w:rPr>
          <w:sz w:val="28"/>
          <w:szCs w:val="28"/>
        </w:rPr>
      </w:pPr>
    </w:p>
    <w:p w:rsidR="006C7247" w:rsidRPr="006C7247" w:rsidRDefault="006C7247" w:rsidP="006C7247">
      <w:pPr>
        <w:rPr>
          <w:sz w:val="28"/>
          <w:szCs w:val="28"/>
        </w:rPr>
      </w:pPr>
    </w:p>
    <w:p w:rsidR="006C7247" w:rsidRPr="006C7247" w:rsidRDefault="004C6F0D" w:rsidP="006C724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32" style="position:absolute;margin-left:7.05pt;margin-top:3.7pt;width:.85pt;height:144.05pt;flip:x;z-index:251686912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51" type="#_x0000_t32" style="position:absolute;margin-left:415.6pt;margin-top:3.7pt;width:0;height:144.05pt;z-index:251684864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49" type="#_x0000_t32" style="position:absolute;margin-left:309.75pt;margin-top:3.7pt;width:74.05pt;height:78.95pt;flip:y;z-index:251682816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47" type="#_x0000_t32" style="position:absolute;margin-left:42.2pt;margin-top:3.7pt;width:82.05pt;height:73.1pt;flip:x y;z-index:251680768" o:connectortype="straight">
            <v:stroke startarrow="block" endarrow="block"/>
          </v:shape>
        </w:pict>
      </w:r>
    </w:p>
    <w:p w:rsidR="006C7247" w:rsidRPr="006C7247" w:rsidRDefault="004C6F0D" w:rsidP="006C7247">
      <w:pPr>
        <w:rPr>
          <w:sz w:val="28"/>
          <w:szCs w:val="28"/>
        </w:rPr>
      </w:pPr>
      <w:r w:rsidRPr="00E90E36">
        <w:rPr>
          <w:rFonts w:ascii="TimesNewRoman" w:eastAsiaTheme="minorHAnsi" w:hAnsi="TimesNewRoman" w:cs="TimesNewRoman"/>
          <w:noProof/>
          <w:sz w:val="28"/>
          <w:szCs w:val="28"/>
          <w:lang w:eastAsia="en-US"/>
        </w:rPr>
        <w:pict>
          <v:shape id="_x0000_s1035" type="#_x0000_t202" style="position:absolute;margin-left:124.25pt;margin-top:1pt;width:185.65pt;height:23.25pt;z-index:251668480;mso-width-relative:margin;mso-height-relative:margin;v-text-anchor:middle">
            <v:textbox>
              <w:txbxContent>
                <w:p w:rsidR="0006600C" w:rsidRDefault="0006600C" w:rsidP="00E90E36">
                  <w:pPr>
                    <w:jc w:val="center"/>
                  </w:pPr>
                  <w:r>
                    <w:t>Налоговая политика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margin-left:124.25pt;margin-top:24.4pt;width:185.5pt;height:92.95pt;z-index:251669504;mso-width-relative:margin;mso-height-relative:margin;v-text-anchor:middle">
            <v:textbox>
              <w:txbxContent>
                <w:p w:rsidR="0006600C" w:rsidRDefault="0006600C" w:rsidP="00E90E36">
                  <w:pPr>
                    <w:pStyle w:val="af1"/>
                    <w:numPr>
                      <w:ilvl w:val="0"/>
                      <w:numId w:val="5"/>
                    </w:numPr>
                    <w:ind w:left="0" w:firstLine="113"/>
                  </w:pPr>
                  <w:r>
                    <w:t>фискальная функция;</w:t>
                  </w:r>
                </w:p>
                <w:p w:rsidR="0006600C" w:rsidRDefault="0006600C" w:rsidP="006D1789">
                  <w:pPr>
                    <w:pStyle w:val="af1"/>
                    <w:numPr>
                      <w:ilvl w:val="0"/>
                      <w:numId w:val="5"/>
                    </w:numPr>
                    <w:ind w:left="0" w:firstLine="113"/>
                  </w:pPr>
                  <w:r>
                    <w:t>регулирующая функция</w:t>
                  </w:r>
                </w:p>
              </w:txbxContent>
            </v:textbox>
          </v:shape>
        </w:pict>
      </w:r>
    </w:p>
    <w:p w:rsidR="006C7247" w:rsidRPr="006C7247" w:rsidRDefault="006C7247" w:rsidP="006C7247">
      <w:pPr>
        <w:rPr>
          <w:sz w:val="28"/>
          <w:szCs w:val="28"/>
        </w:rPr>
      </w:pPr>
    </w:p>
    <w:p w:rsidR="006C7247" w:rsidRPr="006C7247" w:rsidRDefault="006C7247" w:rsidP="006C7247">
      <w:pPr>
        <w:rPr>
          <w:sz w:val="28"/>
          <w:szCs w:val="28"/>
        </w:rPr>
      </w:pPr>
    </w:p>
    <w:p w:rsidR="006C7247" w:rsidRPr="006C7247" w:rsidRDefault="004C6F0D" w:rsidP="006C724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32" style="position:absolute;margin-left:42.2pt;margin-top:12.4pt;width:82.05pt;height:70.95pt;flip:x;z-index:251681792" o:connectortype="straight">
            <v:stroke startarrow="block" endarrow="block"/>
          </v:shape>
        </w:pict>
      </w:r>
    </w:p>
    <w:p w:rsidR="006C7247" w:rsidRPr="006C7247" w:rsidRDefault="004C6F0D" w:rsidP="006C724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32" style="position:absolute;margin-left:309.9pt;margin-top:2.15pt;width:73.9pt;height:65.1pt;z-index:251683840" o:connectortype="straight">
            <v:stroke startarrow="block" endarrow="block"/>
          </v:shape>
        </w:pict>
      </w:r>
    </w:p>
    <w:p w:rsidR="006C7247" w:rsidRPr="006C7247" w:rsidRDefault="006C7247" w:rsidP="006C7247">
      <w:pPr>
        <w:rPr>
          <w:sz w:val="28"/>
          <w:szCs w:val="28"/>
        </w:rPr>
      </w:pPr>
    </w:p>
    <w:p w:rsidR="006C7247" w:rsidRPr="006C7247" w:rsidRDefault="006C7247" w:rsidP="006C7247">
      <w:pPr>
        <w:rPr>
          <w:sz w:val="28"/>
          <w:szCs w:val="28"/>
        </w:rPr>
      </w:pPr>
    </w:p>
    <w:p w:rsidR="006C7247" w:rsidRPr="006C7247" w:rsidRDefault="006C7247" w:rsidP="006C7247">
      <w:pPr>
        <w:rPr>
          <w:sz w:val="28"/>
          <w:szCs w:val="28"/>
        </w:rPr>
      </w:pPr>
    </w:p>
    <w:p w:rsidR="006C7247" w:rsidRPr="006C7247" w:rsidRDefault="004C6F0D" w:rsidP="006C7247">
      <w:pPr>
        <w:rPr>
          <w:sz w:val="28"/>
          <w:szCs w:val="28"/>
        </w:rPr>
      </w:pPr>
      <w:r>
        <w:rPr>
          <w:rFonts w:ascii="TimesNewRoman" w:eastAsiaTheme="minorHAnsi" w:hAnsi="TimesNewRoman" w:cs="TimesNewRoman"/>
          <w:noProof/>
          <w:sz w:val="28"/>
          <w:szCs w:val="28"/>
        </w:rPr>
        <w:pict>
          <v:shape id="_x0000_s1044" type="#_x0000_t202" style="position:absolute;margin-left:291.65pt;margin-top:26.1pt;width:185.5pt;height:109.7pt;z-index:251677696;mso-width-relative:margin;mso-height-relative:margin;v-text-anchor:middle">
            <v:textbox>
              <w:txbxContent>
                <w:p w:rsidR="0006600C" w:rsidRDefault="0006600C" w:rsidP="006D1789">
                  <w:pPr>
                    <w:pStyle w:val="af1"/>
                    <w:numPr>
                      <w:ilvl w:val="0"/>
                      <w:numId w:val="5"/>
                    </w:numPr>
                    <w:ind w:left="0" w:firstLine="113"/>
                  </w:pPr>
                  <w:r>
                    <w:t>улучшение качества окружающей природной среды</w:t>
                  </w:r>
                </w:p>
              </w:txbxContent>
            </v:textbox>
          </v:shape>
        </w:pict>
      </w:r>
      <w:r>
        <w:rPr>
          <w:rFonts w:ascii="TimesNewRoman" w:eastAsiaTheme="minorHAnsi" w:hAnsi="TimesNewRoman" w:cs="TimesNewRoman"/>
          <w:noProof/>
          <w:sz w:val="28"/>
          <w:szCs w:val="28"/>
        </w:rPr>
        <w:pict>
          <v:shape id="_x0000_s1043" type="#_x0000_t202" style="position:absolute;margin-left:291.65pt;margin-top:2.85pt;width:185.65pt;height:23.25pt;z-index:251676672;mso-width-relative:margin;mso-height-relative:margin;v-text-anchor:middle">
            <v:textbox>
              <w:txbxContent>
                <w:p w:rsidR="0006600C" w:rsidRDefault="0006600C" w:rsidP="006D1789">
                  <w:pPr>
                    <w:jc w:val="center"/>
                  </w:pPr>
                  <w:r>
                    <w:t>Экологическая политика</w:t>
                  </w:r>
                </w:p>
              </w:txbxContent>
            </v:textbox>
          </v:shape>
        </w:pict>
      </w:r>
      <w:r>
        <w:rPr>
          <w:rFonts w:ascii="TimesNewRoman" w:eastAsiaTheme="minorHAnsi" w:hAnsi="TimesNewRoman" w:cs="TimesNewRoman"/>
          <w:noProof/>
          <w:sz w:val="28"/>
          <w:szCs w:val="28"/>
        </w:rPr>
        <w:pict>
          <v:shape id="_x0000_s1041" type="#_x0000_t202" style="position:absolute;margin-left:-40pt;margin-top:2.85pt;width:185.65pt;height:23.25pt;z-index:251674624;mso-width-relative:margin;mso-height-relative:margin;v-text-anchor:middle">
            <v:textbox>
              <w:txbxContent>
                <w:p w:rsidR="0006600C" w:rsidRDefault="0006600C" w:rsidP="00FA345C">
                  <w:pPr>
                    <w:jc w:val="center"/>
                  </w:pPr>
                  <w:r>
                    <w:t>Демосоциальная политика</w:t>
                  </w:r>
                </w:p>
              </w:txbxContent>
            </v:textbox>
          </v:shape>
        </w:pict>
      </w:r>
      <w:r>
        <w:rPr>
          <w:rFonts w:ascii="TimesNewRoman" w:eastAsiaTheme="minorHAnsi" w:hAnsi="TimesNewRoman" w:cs="TimesNewRoman"/>
          <w:noProof/>
          <w:sz w:val="28"/>
          <w:szCs w:val="28"/>
        </w:rPr>
        <w:pict>
          <v:shape id="_x0000_s1042" type="#_x0000_t202" style="position:absolute;margin-left:-39.85pt;margin-top:26.1pt;width:185.5pt;height:109.7pt;z-index:251675648;mso-width-relative:margin;mso-height-relative:margin">
            <v:textbox>
              <w:txbxContent>
                <w:p w:rsidR="0006600C" w:rsidRDefault="0006600C" w:rsidP="00FA345C">
                  <w:pPr>
                    <w:pStyle w:val="af1"/>
                    <w:numPr>
                      <w:ilvl w:val="0"/>
                      <w:numId w:val="5"/>
                    </w:numPr>
                    <w:ind w:left="0" w:firstLine="113"/>
                  </w:pPr>
                  <w:r>
                    <w:t>обеспечение занятости населения;</w:t>
                  </w:r>
                </w:p>
                <w:p w:rsidR="0006600C" w:rsidRDefault="0006600C" w:rsidP="00FA345C">
                  <w:pPr>
                    <w:pStyle w:val="af1"/>
                    <w:numPr>
                      <w:ilvl w:val="0"/>
                      <w:numId w:val="5"/>
                    </w:numPr>
                    <w:ind w:left="0" w:firstLine="113"/>
                  </w:pPr>
                  <w:r>
                    <w:t>увеличение душевых доходов;</w:t>
                  </w:r>
                </w:p>
                <w:p w:rsidR="0006600C" w:rsidRDefault="0006600C" w:rsidP="00FA345C">
                  <w:pPr>
                    <w:pStyle w:val="af1"/>
                    <w:numPr>
                      <w:ilvl w:val="0"/>
                      <w:numId w:val="5"/>
                    </w:numPr>
                    <w:ind w:left="0" w:firstLine="113"/>
                  </w:pPr>
                  <w:r>
                    <w:t>повышение обеспеченности социальными услугами</w:t>
                  </w:r>
                </w:p>
              </w:txbxContent>
            </v:textbox>
          </v:shape>
        </w:pict>
      </w:r>
    </w:p>
    <w:p w:rsidR="006C7247" w:rsidRPr="006C7247" w:rsidRDefault="006C7247" w:rsidP="006C7247">
      <w:pPr>
        <w:rPr>
          <w:sz w:val="28"/>
          <w:szCs w:val="28"/>
        </w:rPr>
      </w:pPr>
    </w:p>
    <w:p w:rsidR="006C7247" w:rsidRPr="006C7247" w:rsidRDefault="006C7247" w:rsidP="006C7247">
      <w:pPr>
        <w:rPr>
          <w:sz w:val="28"/>
          <w:szCs w:val="28"/>
        </w:rPr>
      </w:pPr>
    </w:p>
    <w:p w:rsidR="006C7247" w:rsidRPr="006C7247" w:rsidRDefault="006C7247" w:rsidP="006C7247">
      <w:pPr>
        <w:rPr>
          <w:sz w:val="28"/>
          <w:szCs w:val="28"/>
        </w:rPr>
      </w:pPr>
    </w:p>
    <w:p w:rsidR="006C7247" w:rsidRPr="006C7247" w:rsidRDefault="006C7247" w:rsidP="006C7247">
      <w:pPr>
        <w:rPr>
          <w:sz w:val="28"/>
          <w:szCs w:val="28"/>
        </w:rPr>
      </w:pPr>
    </w:p>
    <w:p w:rsidR="006C7247" w:rsidRPr="006C7247" w:rsidRDefault="006C7247" w:rsidP="006C7247">
      <w:pPr>
        <w:rPr>
          <w:sz w:val="28"/>
          <w:szCs w:val="28"/>
        </w:rPr>
      </w:pPr>
    </w:p>
    <w:p w:rsidR="006C7247" w:rsidRPr="006C7247" w:rsidRDefault="004C6F0D" w:rsidP="006C724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32" style="position:absolute;margin-left:145.2pt;margin-top:6.05pt;width:146.45pt;height:0;z-index:251687936" o:connectortype="straight">
            <v:stroke startarrow="block" endarrow="block"/>
          </v:shape>
        </w:pict>
      </w:r>
    </w:p>
    <w:p w:rsidR="004C6F0D" w:rsidRDefault="004C6F0D" w:rsidP="004C6F0D">
      <w:pPr>
        <w:ind w:left="-1134" w:firstLine="454"/>
        <w:jc w:val="center"/>
        <w:rPr>
          <w:i/>
          <w:sz w:val="28"/>
          <w:szCs w:val="28"/>
        </w:rPr>
      </w:pPr>
      <w:r w:rsidRPr="003E6D38">
        <w:rPr>
          <w:i/>
          <w:sz w:val="28"/>
          <w:szCs w:val="28"/>
        </w:rPr>
        <w:lastRenderedPageBreak/>
        <w:t xml:space="preserve">Рисунок </w:t>
      </w:r>
      <w:r>
        <w:rPr>
          <w:i/>
          <w:sz w:val="28"/>
          <w:szCs w:val="28"/>
        </w:rPr>
        <w:t>4</w:t>
      </w:r>
      <w:r w:rsidRPr="003E6D38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Соотношение налоговой политики </w:t>
      </w:r>
    </w:p>
    <w:p w:rsidR="006C7247" w:rsidRPr="004C6F0D" w:rsidRDefault="004C6F0D" w:rsidP="004C6F0D">
      <w:pPr>
        <w:spacing w:after="120"/>
        <w:ind w:left="-1134" w:firstLine="45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 другими видами региональной политики, 2010 г.</w:t>
      </w:r>
    </w:p>
    <w:p w:rsidR="009A4FA4" w:rsidRDefault="006C7247" w:rsidP="004C6F0D">
      <w:pPr>
        <w:ind w:left="-567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сущность налоговой политики региона заключается </w:t>
      </w:r>
      <w:r w:rsidR="006B2C8F">
        <w:rPr>
          <w:sz w:val="28"/>
          <w:szCs w:val="28"/>
        </w:rPr>
        <w:t>в выборе соотношения между фискальной и регулирующей функциями налогообложения. В общем случае налогообложение выступает в качестве инструмента для достижения целей других видов региональной политики. Конечной целью региональной политики является обеспечение экономического роста и повышение уровня жизни</w:t>
      </w:r>
      <w:r w:rsidR="004C6F0D">
        <w:rPr>
          <w:sz w:val="28"/>
          <w:szCs w:val="28"/>
        </w:rPr>
        <w:t xml:space="preserve"> населения</w:t>
      </w:r>
      <w:r w:rsidR="006B2C8F">
        <w:rPr>
          <w:sz w:val="28"/>
          <w:szCs w:val="28"/>
        </w:rPr>
        <w:t>.</w:t>
      </w:r>
    </w:p>
    <w:p w:rsidR="006B2C8F" w:rsidRDefault="006B2C8F" w:rsidP="004C6F0D">
      <w:pPr>
        <w:ind w:left="-567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Возможности, а также значимость целей </w:t>
      </w:r>
      <w:r w:rsidR="004C6F0D">
        <w:rPr>
          <w:sz w:val="28"/>
          <w:szCs w:val="28"/>
        </w:rPr>
        <w:t xml:space="preserve">региональной политики </w:t>
      </w:r>
      <w:r>
        <w:rPr>
          <w:sz w:val="28"/>
          <w:szCs w:val="28"/>
        </w:rPr>
        <w:t>в каждый момент времени задаётся существующим балансом интересов между субъектами регионально</w:t>
      </w:r>
      <w:r w:rsidR="004C3BB1">
        <w:rPr>
          <w:sz w:val="28"/>
          <w:szCs w:val="28"/>
        </w:rPr>
        <w:t>го воспроизводственного</w:t>
      </w:r>
      <w:r>
        <w:rPr>
          <w:sz w:val="28"/>
          <w:szCs w:val="28"/>
        </w:rPr>
        <w:t xml:space="preserve"> </w:t>
      </w:r>
      <w:r w:rsidR="004C3BB1">
        <w:rPr>
          <w:sz w:val="28"/>
          <w:szCs w:val="28"/>
        </w:rPr>
        <w:t xml:space="preserve">процесса: федеральные органы власти, региональные органы власти, </w:t>
      </w:r>
      <w:r w:rsidR="0042008A">
        <w:rPr>
          <w:sz w:val="28"/>
          <w:szCs w:val="28"/>
        </w:rPr>
        <w:t>коммерческие организации и домохозяйства. Очевидно, что в настоящее время преобладают интересы федеральных органов власти, связанные</w:t>
      </w:r>
      <w:r w:rsidR="004C6F0D">
        <w:rPr>
          <w:sz w:val="28"/>
          <w:szCs w:val="28"/>
        </w:rPr>
        <w:t>,</w:t>
      </w:r>
      <w:r w:rsidR="0042008A">
        <w:rPr>
          <w:sz w:val="28"/>
          <w:szCs w:val="28"/>
        </w:rPr>
        <w:t xml:space="preserve"> прежде всего</w:t>
      </w:r>
      <w:r w:rsidR="004C6F0D">
        <w:rPr>
          <w:sz w:val="28"/>
          <w:szCs w:val="28"/>
        </w:rPr>
        <w:t>,</w:t>
      </w:r>
      <w:r w:rsidR="0042008A">
        <w:rPr>
          <w:sz w:val="28"/>
          <w:szCs w:val="28"/>
        </w:rPr>
        <w:t xml:space="preserve"> с достижением политических целей, косвенно влияющих на экономическую сферу.</w:t>
      </w:r>
    </w:p>
    <w:p w:rsidR="0042008A" w:rsidRDefault="0042008A" w:rsidP="004C6F0D">
      <w:pPr>
        <w:ind w:left="-567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анализа оценки воздействия налоговой системы государства на развитие экономики региона (на примере Новосибирской области) нами была использована модель, предложенная сотрудниками Института народнохозяйственного прогнозирования РАН. Модель была адаптирована для возможности </w:t>
      </w:r>
      <w:r w:rsidR="0006600C">
        <w:rPr>
          <w:sz w:val="28"/>
          <w:szCs w:val="28"/>
        </w:rPr>
        <w:t>использования применительно к региональной экономике</w:t>
      </w:r>
      <w:r>
        <w:rPr>
          <w:sz w:val="28"/>
          <w:szCs w:val="28"/>
        </w:rPr>
        <w:t>.</w:t>
      </w:r>
    </w:p>
    <w:p w:rsidR="00D66641" w:rsidRDefault="00D66641" w:rsidP="0006600C">
      <w:pPr>
        <w:tabs>
          <w:tab w:val="left" w:pos="2120"/>
        </w:tabs>
        <w:ind w:left="-567" w:firstLine="454"/>
        <w:jc w:val="both"/>
        <w:rPr>
          <w:sz w:val="28"/>
        </w:rPr>
      </w:pPr>
      <w:r>
        <w:rPr>
          <w:sz w:val="28"/>
        </w:rPr>
        <w:t>Функциональная зависимость между ВРП, производственными факторами и уровнем налоговой нагрузки сводится к следующему виду:</w:t>
      </w:r>
    </w:p>
    <w:p w:rsidR="00D66641" w:rsidRDefault="00D66641" w:rsidP="0006600C">
      <w:pPr>
        <w:tabs>
          <w:tab w:val="left" w:pos="2120"/>
        </w:tabs>
        <w:ind w:left="-567" w:firstLine="454"/>
        <w:jc w:val="center"/>
        <w:rPr>
          <w:sz w:val="28"/>
        </w:rPr>
      </w:pPr>
      <w:r>
        <w:rPr>
          <w:position w:val="-10"/>
          <w:sz w:val="32"/>
          <w:szCs w:val="32"/>
        </w:rPr>
        <w:object w:dxaOrig="2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55pt;height:17.75pt" o:ole="">
            <v:imagedata r:id="rId13" o:title=""/>
          </v:shape>
          <o:OLEObject Type="Embed" ProgID="Equation.3" ShapeID="_x0000_i1025" DrawAspect="Content" ObjectID="_1410106720" r:id="rId14"/>
        </w:object>
      </w:r>
      <w:r w:rsidR="0006600C">
        <w:rPr>
          <w:sz w:val="28"/>
        </w:rPr>
        <w:t xml:space="preserve">, </w:t>
      </w:r>
    </w:p>
    <w:p w:rsidR="00D66641" w:rsidRDefault="00D66641" w:rsidP="0006600C">
      <w:pPr>
        <w:tabs>
          <w:tab w:val="left" w:pos="2120"/>
        </w:tabs>
        <w:ind w:left="-567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position w:val="-4"/>
          <w:sz w:val="28"/>
        </w:rPr>
        <w:object w:dxaOrig="220" w:dyaOrig="260">
          <v:shape id="_x0000_i1026" type="#_x0000_t75" style="width:11.2pt;height:13.1pt" o:ole="">
            <v:imagedata r:id="rId15" o:title=""/>
          </v:shape>
          <o:OLEObject Type="Embed" ProgID="Equation.3" ShapeID="_x0000_i1026" DrawAspect="Content" ObjectID="_1410106721" r:id="rId16"/>
        </w:object>
      </w:r>
      <w:r>
        <w:rPr>
          <w:sz w:val="28"/>
        </w:rPr>
        <w:t xml:space="preserve">– выпуск (объем ВРП региона); </w:t>
      </w:r>
      <w:r>
        <w:rPr>
          <w:position w:val="-4"/>
          <w:sz w:val="28"/>
        </w:rPr>
        <w:object w:dxaOrig="260" w:dyaOrig="260">
          <v:shape id="_x0000_i1027" type="#_x0000_t75" style="width:13.1pt;height:13.1pt" o:ole="">
            <v:imagedata r:id="rId17" o:title=""/>
          </v:shape>
          <o:OLEObject Type="Embed" ProgID="Equation.3" ShapeID="_x0000_i1027" DrawAspect="Content" ObjectID="_1410106722" r:id="rId18"/>
        </w:object>
      </w:r>
      <w:r>
        <w:rPr>
          <w:sz w:val="28"/>
        </w:rPr>
        <w:t xml:space="preserve">– капитал (стоимость основных фондов); </w:t>
      </w:r>
      <w:r>
        <w:rPr>
          <w:position w:val="-4"/>
          <w:sz w:val="28"/>
        </w:rPr>
        <w:object w:dxaOrig="220" w:dyaOrig="260">
          <v:shape id="_x0000_i1028" type="#_x0000_t75" style="width:11.2pt;height:13.1pt" o:ole="">
            <v:imagedata r:id="rId19" o:title=""/>
          </v:shape>
          <o:OLEObject Type="Embed" ProgID="Equation.3" ShapeID="_x0000_i1028" DrawAspect="Content" ObjectID="_1410106723" r:id="rId20"/>
        </w:object>
      </w:r>
      <w:r>
        <w:rPr>
          <w:sz w:val="28"/>
        </w:rPr>
        <w:t xml:space="preserve">– труд (численность занятых в экономике работников); </w:t>
      </w:r>
      <w:r>
        <w:rPr>
          <w:position w:val="-10"/>
          <w:sz w:val="28"/>
        </w:rPr>
        <w:object w:dxaOrig="200" w:dyaOrig="260">
          <v:shape id="_x0000_i1029" type="#_x0000_t75" style="width:9.35pt;height:13.1pt" o:ole="">
            <v:imagedata r:id="rId21" o:title=""/>
          </v:shape>
          <o:OLEObject Type="Embed" ProgID="Equation.3" ShapeID="_x0000_i1029" DrawAspect="Content" ObjectID="_1410106724" r:id="rId22"/>
        </w:object>
      </w:r>
      <w:r>
        <w:rPr>
          <w:sz w:val="28"/>
        </w:rPr>
        <w:t xml:space="preserve"> – налоговая нагрузка (относительное налоговое бремя, вычисляемое как доля налоговых поступлений </w:t>
      </w:r>
      <w:r>
        <w:rPr>
          <w:position w:val="-4"/>
          <w:sz w:val="28"/>
        </w:rPr>
        <w:object w:dxaOrig="220" w:dyaOrig="260">
          <v:shape id="_x0000_i1030" type="#_x0000_t75" style="width:11.2pt;height:13.1pt" o:ole="">
            <v:imagedata r:id="rId23" o:title=""/>
          </v:shape>
          <o:OLEObject Type="Embed" ProgID="Equation.3" ShapeID="_x0000_i1030" DrawAspect="Content" ObjectID="_1410106725" r:id="rId24"/>
        </w:object>
      </w:r>
      <w:r>
        <w:rPr>
          <w:sz w:val="28"/>
        </w:rPr>
        <w:t xml:space="preserve"> в ВРП,</w:t>
      </w:r>
      <w:r>
        <w:rPr>
          <w:position w:val="-18"/>
          <w:sz w:val="28"/>
        </w:rPr>
        <w:object w:dxaOrig="800" w:dyaOrig="480">
          <v:shape id="_x0000_i1031" type="#_x0000_t75" style="width:40.2pt;height:24.3pt" o:ole="">
            <v:imagedata r:id="rId25" o:title=""/>
          </v:shape>
          <o:OLEObject Type="Embed" ProgID="Equation.3" ShapeID="_x0000_i1031" DrawAspect="Content" ObjectID="_1410106726" r:id="rId26"/>
        </w:object>
      </w:r>
      <w:r>
        <w:rPr>
          <w:sz w:val="28"/>
        </w:rPr>
        <w:t xml:space="preserve">); </w:t>
      </w:r>
      <w:r>
        <w:rPr>
          <w:position w:val="-4"/>
          <w:sz w:val="28"/>
        </w:rPr>
        <w:object w:dxaOrig="260" w:dyaOrig="260">
          <v:shape id="_x0000_i1032" type="#_x0000_t75" style="width:13.1pt;height:13.1pt" o:ole="">
            <v:imagedata r:id="rId27" o:title=""/>
          </v:shape>
          <o:OLEObject Type="Embed" ProgID="Equation.3" ShapeID="_x0000_i1032" DrawAspect="Content" ObjectID="_1410106727" r:id="rId28"/>
        </w:object>
      </w:r>
      <w:r>
        <w:rPr>
          <w:sz w:val="28"/>
        </w:rPr>
        <w:t>– трендовый оператор (функция, зависящая от времени</w:t>
      </w:r>
      <w:r>
        <w:rPr>
          <w:position w:val="-6"/>
          <w:sz w:val="28"/>
        </w:rPr>
        <w:object w:dxaOrig="140" w:dyaOrig="240">
          <v:shape id="_x0000_i1033" type="#_x0000_t75" style="width:6.55pt;height:12.15pt" o:ole="">
            <v:imagedata r:id="rId29" o:title=""/>
          </v:shape>
          <o:OLEObject Type="Embed" ProgID="Equation.3" ShapeID="_x0000_i1033" DrawAspect="Content" ObjectID="_1410106728" r:id="rId30"/>
        </w:object>
      </w:r>
      <w:r>
        <w:rPr>
          <w:sz w:val="28"/>
        </w:rPr>
        <w:t xml:space="preserve">); </w:t>
      </w:r>
      <w:r>
        <w:rPr>
          <w:position w:val="-10"/>
          <w:sz w:val="28"/>
        </w:rPr>
        <w:object w:dxaOrig="200" w:dyaOrig="260">
          <v:shape id="_x0000_i1034" type="#_x0000_t75" style="width:9.35pt;height:13.1pt" o:ole="">
            <v:imagedata r:id="rId31" o:title=""/>
          </v:shape>
          <o:OLEObject Type="Embed" ProgID="Equation.3" ShapeID="_x0000_i1034" DrawAspect="Content" ObjectID="_1410106729" r:id="rId32"/>
        </w:object>
      </w:r>
      <w:r>
        <w:rPr>
          <w:sz w:val="28"/>
        </w:rPr>
        <w:t xml:space="preserve">, </w:t>
      </w:r>
      <w:r>
        <w:rPr>
          <w:position w:val="-6"/>
          <w:sz w:val="28"/>
        </w:rPr>
        <w:object w:dxaOrig="200" w:dyaOrig="220">
          <v:shape id="_x0000_i1035" type="#_x0000_t75" style="width:9.35pt;height:11.2pt" o:ole="">
            <v:imagedata r:id="rId33" o:title=""/>
          </v:shape>
          <o:OLEObject Type="Embed" ProgID="Equation.3" ShapeID="_x0000_i1035" DrawAspect="Content" ObjectID="_1410106730" r:id="rId34"/>
        </w:object>
      </w:r>
      <w:r>
        <w:rPr>
          <w:sz w:val="28"/>
        </w:rPr>
        <w:t xml:space="preserve">, </w:t>
      </w:r>
      <w:r>
        <w:rPr>
          <w:position w:val="-6"/>
          <w:sz w:val="28"/>
        </w:rPr>
        <w:object w:dxaOrig="200" w:dyaOrig="279">
          <v:shape id="_x0000_i1036" type="#_x0000_t75" style="width:9.35pt;height:14.05pt" o:ole="">
            <v:imagedata r:id="rId35" o:title=""/>
          </v:shape>
          <o:OLEObject Type="Embed" ProgID="Equation.3" ShapeID="_x0000_i1036" DrawAspect="Content" ObjectID="_1410106731" r:id="rId36"/>
        </w:object>
      </w:r>
      <w:r>
        <w:rPr>
          <w:sz w:val="28"/>
        </w:rPr>
        <w:t xml:space="preserve">, </w:t>
      </w:r>
      <w:r>
        <w:rPr>
          <w:position w:val="-6"/>
          <w:sz w:val="28"/>
        </w:rPr>
        <w:object w:dxaOrig="200" w:dyaOrig="220">
          <v:shape id="_x0000_i1037" type="#_x0000_t75" style="width:9.35pt;height:11.2pt" o:ole="">
            <v:imagedata r:id="rId37" o:title=""/>
          </v:shape>
          <o:OLEObject Type="Embed" ProgID="Equation.3" ShapeID="_x0000_i1037" DrawAspect="Content" ObjectID="_1410106732" r:id="rId38"/>
        </w:object>
      </w:r>
      <w:r>
        <w:rPr>
          <w:sz w:val="28"/>
        </w:rPr>
        <w:t xml:space="preserve"> и </w:t>
      </w:r>
      <w:r>
        <w:rPr>
          <w:position w:val="-6"/>
          <w:sz w:val="28"/>
        </w:rPr>
        <w:object w:dxaOrig="260" w:dyaOrig="220">
          <v:shape id="_x0000_i1038" type="#_x0000_t75" style="width:13.1pt;height:11.2pt" o:ole="">
            <v:imagedata r:id="rId39" o:title=""/>
          </v:shape>
          <o:OLEObject Type="Embed" ProgID="Equation.3" ShapeID="_x0000_i1038" DrawAspect="Content" ObjectID="_1410106733" r:id="rId40"/>
        </w:object>
      </w:r>
      <w:r>
        <w:rPr>
          <w:sz w:val="28"/>
        </w:rPr>
        <w:t xml:space="preserve"> – параметры, оцениваемые статистически на основе ретроспективных динамических рядов. Переменные </w:t>
      </w:r>
      <w:r>
        <w:rPr>
          <w:position w:val="-4"/>
          <w:sz w:val="28"/>
        </w:rPr>
        <w:object w:dxaOrig="220" w:dyaOrig="260">
          <v:shape id="_x0000_i1039" type="#_x0000_t75" style="width:11.2pt;height:13.1pt" o:ole="">
            <v:imagedata r:id="rId15" o:title=""/>
          </v:shape>
          <o:OLEObject Type="Embed" ProgID="Equation.3" ShapeID="_x0000_i1039" DrawAspect="Content" ObjectID="_1410106734" r:id="rId41"/>
        </w:object>
      </w:r>
      <w:r>
        <w:rPr>
          <w:sz w:val="28"/>
        </w:rPr>
        <w:t xml:space="preserve">, </w:t>
      </w:r>
      <w:r>
        <w:rPr>
          <w:position w:val="-4"/>
          <w:sz w:val="28"/>
        </w:rPr>
        <w:object w:dxaOrig="260" w:dyaOrig="260">
          <v:shape id="_x0000_i1040" type="#_x0000_t75" style="width:13.1pt;height:13.1pt" o:ole="">
            <v:imagedata r:id="rId17" o:title=""/>
          </v:shape>
          <o:OLEObject Type="Embed" ProgID="Equation.3" ShapeID="_x0000_i1040" DrawAspect="Content" ObjectID="_1410106735" r:id="rId42"/>
        </w:object>
      </w:r>
      <w:r>
        <w:rPr>
          <w:sz w:val="28"/>
        </w:rPr>
        <w:t xml:space="preserve">, </w:t>
      </w:r>
      <w:r>
        <w:rPr>
          <w:position w:val="-4"/>
          <w:sz w:val="28"/>
        </w:rPr>
        <w:object w:dxaOrig="220" w:dyaOrig="260">
          <v:shape id="_x0000_i1041" type="#_x0000_t75" style="width:11.2pt;height:13.1pt" o:ole="">
            <v:imagedata r:id="rId19" o:title=""/>
          </v:shape>
          <o:OLEObject Type="Embed" ProgID="Equation.3" ShapeID="_x0000_i1041" DrawAspect="Content" ObjectID="_1410106736" r:id="rId43"/>
        </w:object>
      </w:r>
      <w:r>
        <w:rPr>
          <w:sz w:val="28"/>
        </w:rPr>
        <w:t xml:space="preserve"> и  </w:t>
      </w:r>
      <w:r>
        <w:rPr>
          <w:position w:val="-10"/>
          <w:sz w:val="28"/>
        </w:rPr>
        <w:object w:dxaOrig="200" w:dyaOrig="260">
          <v:shape id="_x0000_i1042" type="#_x0000_t75" style="width:9.35pt;height:13.1pt" o:ole="">
            <v:imagedata r:id="rId21" o:title=""/>
          </v:shape>
          <o:OLEObject Type="Embed" ProgID="Equation.3" ShapeID="_x0000_i1042" DrawAspect="Content" ObjectID="_1410106737" r:id="rId44"/>
        </w:object>
      </w:r>
      <w:r>
        <w:rPr>
          <w:sz w:val="28"/>
        </w:rPr>
        <w:t xml:space="preserve"> берутся за соответствующие годы </w:t>
      </w:r>
      <w:r>
        <w:rPr>
          <w:position w:val="-6"/>
          <w:sz w:val="28"/>
        </w:rPr>
        <w:object w:dxaOrig="140" w:dyaOrig="240">
          <v:shape id="_x0000_i1043" type="#_x0000_t75" style="width:6.55pt;height:12.15pt" o:ole="">
            <v:imagedata r:id="rId45" o:title=""/>
          </v:shape>
          <o:OLEObject Type="Embed" ProgID="Equation.3" ShapeID="_x0000_i1043" DrawAspect="Content" ObjectID="_1410106738" r:id="rId46"/>
        </w:object>
      </w:r>
      <w:r>
        <w:rPr>
          <w:sz w:val="28"/>
        </w:rPr>
        <w:t>.</w:t>
      </w:r>
    </w:p>
    <w:p w:rsidR="00D66641" w:rsidRDefault="00D66641" w:rsidP="0006600C">
      <w:pPr>
        <w:tabs>
          <w:tab w:val="left" w:pos="2120"/>
        </w:tabs>
        <w:ind w:left="-567" w:firstLine="454"/>
        <w:jc w:val="both"/>
        <w:rPr>
          <w:sz w:val="28"/>
        </w:rPr>
      </w:pPr>
      <w:r>
        <w:rPr>
          <w:sz w:val="28"/>
        </w:rPr>
        <w:t>Особенность функции (1) состоит в том, что макропродукт региона зависит от труда, капитала и налогового бремени. Причем влияние труда и капитала на экономический рост само зависит от фискального климата.</w:t>
      </w:r>
    </w:p>
    <w:p w:rsidR="00D66641" w:rsidRDefault="00D66641" w:rsidP="0006600C">
      <w:pPr>
        <w:tabs>
          <w:tab w:val="left" w:pos="2120"/>
        </w:tabs>
        <w:ind w:left="-567" w:firstLine="454"/>
        <w:jc w:val="both"/>
        <w:rPr>
          <w:sz w:val="28"/>
        </w:rPr>
      </w:pPr>
      <w:r>
        <w:rPr>
          <w:sz w:val="28"/>
        </w:rPr>
        <w:t>Функция (1) задает производственную кривую, т.е. зависимость между выпуском и налоговой нагрузкой. Тогда фискальная кривая, т.е. зависимость между массой собираемых налогов и относительной налоговой нагрузкой, описывается следующей функцией:</w:t>
      </w:r>
    </w:p>
    <w:p w:rsidR="00D66641" w:rsidRDefault="00D66641" w:rsidP="00D66641">
      <w:pPr>
        <w:tabs>
          <w:tab w:val="left" w:pos="2120"/>
        </w:tabs>
        <w:spacing w:line="360" w:lineRule="auto"/>
        <w:ind w:left="-567" w:firstLine="454"/>
        <w:jc w:val="center"/>
        <w:rPr>
          <w:sz w:val="28"/>
        </w:rPr>
      </w:pPr>
      <w:r>
        <w:rPr>
          <w:position w:val="-10"/>
          <w:sz w:val="32"/>
          <w:szCs w:val="32"/>
        </w:rPr>
        <w:object w:dxaOrig="2260" w:dyaOrig="360">
          <v:shape id="_x0000_i1044" type="#_x0000_t75" style="width:113.15pt;height:17.75pt" o:ole="">
            <v:imagedata r:id="rId47" o:title=""/>
          </v:shape>
          <o:OLEObject Type="Embed" ProgID="Equation.3" ShapeID="_x0000_i1044" DrawAspect="Content" ObjectID="_1410106739" r:id="rId48"/>
        </w:object>
      </w:r>
      <w:r w:rsidR="0006600C">
        <w:rPr>
          <w:sz w:val="28"/>
        </w:rPr>
        <w:t xml:space="preserve">. </w:t>
      </w:r>
    </w:p>
    <w:p w:rsidR="00D66641" w:rsidRDefault="00D66641" w:rsidP="0006600C">
      <w:pPr>
        <w:tabs>
          <w:tab w:val="left" w:pos="2120"/>
        </w:tabs>
        <w:ind w:left="-567" w:firstLine="454"/>
        <w:jc w:val="both"/>
        <w:rPr>
          <w:sz w:val="28"/>
        </w:rPr>
      </w:pPr>
      <w:r>
        <w:rPr>
          <w:sz w:val="28"/>
        </w:rPr>
        <w:t>Стержневой идеей фискального анализа на базе производственно-институциональных функций (1) и (2) является определение взаимного расположения точек Лаффера 1-го и 2-го рода и фактической величины налоговой нагрузки.</w:t>
      </w:r>
    </w:p>
    <w:p w:rsidR="00D66641" w:rsidRDefault="00D66641" w:rsidP="0006600C">
      <w:pPr>
        <w:tabs>
          <w:tab w:val="left" w:pos="2120"/>
        </w:tabs>
        <w:ind w:left="-567" w:firstLine="454"/>
        <w:jc w:val="both"/>
        <w:rPr>
          <w:sz w:val="28"/>
        </w:rPr>
      </w:pPr>
      <w:r>
        <w:rPr>
          <w:sz w:val="28"/>
        </w:rPr>
        <w:lastRenderedPageBreak/>
        <w:t xml:space="preserve"> Точкой Лаффера первого рода (</w:t>
      </w:r>
      <w:r>
        <w:rPr>
          <w:position w:val="-10"/>
          <w:sz w:val="28"/>
        </w:rPr>
        <w:object w:dxaOrig="340" w:dyaOrig="320">
          <v:shape id="_x0000_i1045" type="#_x0000_t75" style="width:16.85pt;height:15.9pt" o:ole="">
            <v:imagedata r:id="rId49" o:title=""/>
          </v:shape>
          <o:OLEObject Type="Embed" ProgID="Equation.3" ShapeID="_x0000_i1045" DrawAspect="Content" ObjectID="_1410106740" r:id="rId50"/>
        </w:object>
      </w:r>
      <w:r>
        <w:rPr>
          <w:sz w:val="28"/>
        </w:rPr>
        <w:t xml:space="preserve">) называется такая точка на воспроизводственной кривой Лаффера, при которой </w:t>
      </w:r>
      <w:r>
        <w:rPr>
          <w:i/>
          <w:sz w:val="28"/>
        </w:rPr>
        <w:t>величина ВВП</w:t>
      </w:r>
      <w:r>
        <w:rPr>
          <w:sz w:val="28"/>
        </w:rPr>
        <w:t xml:space="preserve"> достигает максимума, т.е. в точке на производственной кривой (1), когда (</w:t>
      </w:r>
      <w:r>
        <w:rPr>
          <w:position w:val="-24"/>
          <w:sz w:val="28"/>
        </w:rPr>
        <w:object w:dxaOrig="860" w:dyaOrig="620">
          <v:shape id="_x0000_i1046" type="#_x0000_t75" style="width:43pt;height:30.85pt" o:ole="">
            <v:imagedata r:id="rId51" o:title=""/>
          </v:shape>
          <o:OLEObject Type="Embed" ProgID="Equation.3" ShapeID="_x0000_i1046" DrawAspect="Content" ObjectID="_1410106741" r:id="rId52"/>
        </w:object>
      </w:r>
      <w:r>
        <w:rPr>
          <w:sz w:val="28"/>
        </w:rPr>
        <w:t>. Тогда</w:t>
      </w:r>
    </w:p>
    <w:p w:rsidR="00D66641" w:rsidRDefault="00D66641" w:rsidP="0006600C">
      <w:pPr>
        <w:tabs>
          <w:tab w:val="left" w:pos="2120"/>
        </w:tabs>
        <w:ind w:left="-567" w:firstLine="454"/>
        <w:jc w:val="center"/>
        <w:rPr>
          <w:sz w:val="28"/>
        </w:rPr>
      </w:pPr>
      <w:r>
        <w:rPr>
          <w:position w:val="-24"/>
          <w:sz w:val="28"/>
        </w:rPr>
        <w:object w:dxaOrig="2480" w:dyaOrig="620">
          <v:shape id="_x0000_i1047" type="#_x0000_t75" style="width:123.45pt;height:30.85pt" o:ole="">
            <v:imagedata r:id="rId53" o:title=""/>
          </v:shape>
          <o:OLEObject Type="Embed" ProgID="Equation.3" ShapeID="_x0000_i1047" DrawAspect="Content" ObjectID="_1410106742" r:id="rId54"/>
        </w:object>
      </w:r>
      <w:r w:rsidR="0006600C">
        <w:rPr>
          <w:sz w:val="28"/>
        </w:rPr>
        <w:t xml:space="preserve"> . </w:t>
      </w:r>
    </w:p>
    <w:p w:rsidR="00D66641" w:rsidRDefault="00D66641" w:rsidP="0006600C">
      <w:pPr>
        <w:tabs>
          <w:tab w:val="left" w:pos="2120"/>
        </w:tabs>
        <w:ind w:left="-567" w:firstLine="454"/>
        <w:jc w:val="both"/>
        <w:rPr>
          <w:sz w:val="28"/>
        </w:rPr>
      </w:pPr>
      <w:r>
        <w:rPr>
          <w:sz w:val="28"/>
        </w:rPr>
        <w:t>Точкой Лаффера второго рода (</w:t>
      </w:r>
      <w:r>
        <w:rPr>
          <w:position w:val="-10"/>
          <w:sz w:val="28"/>
        </w:rPr>
        <w:object w:dxaOrig="480" w:dyaOrig="320">
          <v:shape id="_x0000_i1048" type="#_x0000_t75" style="width:24.3pt;height:15.9pt" o:ole="">
            <v:imagedata r:id="rId55" o:title=""/>
          </v:shape>
          <o:OLEObject Type="Embed" ProgID="Equation.3" ShapeID="_x0000_i1048" DrawAspect="Content" ObjectID="_1410106743" r:id="rId56"/>
        </w:object>
      </w:r>
      <w:r>
        <w:rPr>
          <w:sz w:val="28"/>
        </w:rPr>
        <w:t xml:space="preserve">) называется такая точка на фискальной кривой Лаффера, при которой </w:t>
      </w:r>
      <w:r>
        <w:rPr>
          <w:i/>
          <w:sz w:val="28"/>
        </w:rPr>
        <w:t>величина налоговых доходов</w:t>
      </w:r>
      <w:r>
        <w:rPr>
          <w:sz w:val="28"/>
        </w:rPr>
        <w:t xml:space="preserve"> достигает максимума, т.е. в точке на производственной кривой (1), когда (</w:t>
      </w:r>
      <w:r>
        <w:rPr>
          <w:position w:val="-30"/>
          <w:sz w:val="28"/>
        </w:rPr>
        <w:object w:dxaOrig="780" w:dyaOrig="680">
          <v:shape id="_x0000_i1049" type="#_x0000_t75" style="width:39.25pt;height:33.65pt" o:ole="">
            <v:imagedata r:id="rId57" o:title=""/>
          </v:shape>
          <o:OLEObject Type="Embed" ProgID="Equation.3" ShapeID="_x0000_i1049" DrawAspect="Content" ObjectID="_1410106744" r:id="rId58"/>
        </w:object>
      </w:r>
      <w:r w:rsidR="0006600C">
        <w:rPr>
          <w:sz w:val="28"/>
        </w:rPr>
        <w:t>)</w:t>
      </w:r>
      <w:r>
        <w:rPr>
          <w:sz w:val="28"/>
        </w:rPr>
        <w:t>. Тогда</w:t>
      </w:r>
    </w:p>
    <w:p w:rsidR="00D66641" w:rsidRDefault="00D66641" w:rsidP="0006600C">
      <w:pPr>
        <w:tabs>
          <w:tab w:val="left" w:pos="2120"/>
        </w:tabs>
        <w:ind w:left="-567" w:firstLine="454"/>
        <w:jc w:val="center"/>
        <w:rPr>
          <w:sz w:val="28"/>
        </w:rPr>
      </w:pPr>
      <w:r>
        <w:rPr>
          <w:position w:val="-24"/>
          <w:sz w:val="28"/>
        </w:rPr>
        <w:object w:dxaOrig="6460" w:dyaOrig="720">
          <v:shape id="_x0000_i1050" type="#_x0000_t75" style="width:323.55pt;height:36.45pt" o:ole="">
            <v:imagedata r:id="rId59" o:title=""/>
          </v:shape>
          <o:OLEObject Type="Embed" ProgID="Equation.3" ShapeID="_x0000_i1050" DrawAspect="Content" ObjectID="_1410106745" r:id="rId60"/>
        </w:object>
      </w:r>
      <w:r w:rsidR="0006600C">
        <w:rPr>
          <w:sz w:val="28"/>
        </w:rPr>
        <w:t xml:space="preserve"> .</w:t>
      </w:r>
    </w:p>
    <w:p w:rsidR="00D66641" w:rsidRDefault="00D66641" w:rsidP="0006600C">
      <w:pPr>
        <w:tabs>
          <w:tab w:val="left" w:pos="2120"/>
        </w:tabs>
        <w:ind w:left="-567" w:firstLine="454"/>
        <w:jc w:val="both"/>
        <w:rPr>
          <w:sz w:val="28"/>
        </w:rPr>
      </w:pPr>
      <w:r>
        <w:rPr>
          <w:sz w:val="28"/>
        </w:rPr>
        <w:t>Сравнительный анализ фактической налоговой нагрузки (</w:t>
      </w:r>
      <w:r>
        <w:rPr>
          <w:position w:val="-10"/>
          <w:sz w:val="28"/>
        </w:rPr>
        <w:object w:dxaOrig="200" w:dyaOrig="260">
          <v:shape id="_x0000_i1051" type="#_x0000_t75" style="width:9.35pt;height:13.1pt" o:ole="">
            <v:imagedata r:id="rId61" o:title=""/>
          </v:shape>
          <o:OLEObject Type="Embed" ProgID="Equation.3" ShapeID="_x0000_i1051" DrawAspect="Content" ObjectID="_1410106746" r:id="rId62"/>
        </w:object>
      </w:r>
      <w:r>
        <w:rPr>
          <w:sz w:val="28"/>
        </w:rPr>
        <w:t>) и точек фискальной кривой Лаффера позволяет охарактеризовать стратегию проводимой налоговой политики и оценить её влияние на экономическое развитие территории.</w:t>
      </w:r>
    </w:p>
    <w:p w:rsidR="00D66641" w:rsidRDefault="00D66641" w:rsidP="0006600C">
      <w:pPr>
        <w:tabs>
          <w:tab w:val="left" w:pos="2120"/>
        </w:tabs>
        <w:ind w:left="-567" w:firstLine="454"/>
        <w:jc w:val="both"/>
        <w:rPr>
          <w:sz w:val="28"/>
        </w:rPr>
      </w:pPr>
      <w:r>
        <w:rPr>
          <w:sz w:val="28"/>
        </w:rPr>
        <w:t>Трендовый оператор (</w:t>
      </w:r>
      <w:r>
        <w:rPr>
          <w:position w:val="-4"/>
          <w:sz w:val="28"/>
        </w:rPr>
        <w:object w:dxaOrig="260" w:dyaOrig="260">
          <v:shape id="_x0000_i1052" type="#_x0000_t75" style="width:13.1pt;height:13.1pt" o:ole="">
            <v:imagedata r:id="rId27" o:title=""/>
          </v:shape>
          <o:OLEObject Type="Embed" ProgID="Equation.3" ShapeID="_x0000_i1052" DrawAspect="Content" ObjectID="_1410106747" r:id="rId63"/>
        </w:object>
      </w:r>
      <w:r>
        <w:rPr>
          <w:sz w:val="28"/>
        </w:rPr>
        <w:t>) отражает воздействие научно-технического прогресса на уровень развития производительных сил региона. Предполагается, что производительность факторов производства возрастает с течением времени за счёт увеличения эффективности использования ресурсов, применения более совершенных технологий. Нами использовался классический трендовый оператор по Я. Тинбергену:</w:t>
      </w:r>
    </w:p>
    <w:p w:rsidR="00D66641" w:rsidRDefault="00D66641" w:rsidP="0006600C">
      <w:pPr>
        <w:tabs>
          <w:tab w:val="left" w:pos="2120"/>
        </w:tabs>
        <w:ind w:left="-567" w:firstLine="454"/>
        <w:jc w:val="center"/>
        <w:rPr>
          <w:sz w:val="28"/>
        </w:rPr>
      </w:pPr>
      <w:r>
        <w:rPr>
          <w:position w:val="-10"/>
          <w:sz w:val="28"/>
        </w:rPr>
        <w:object w:dxaOrig="1359" w:dyaOrig="320">
          <v:shape id="_x0000_i1053" type="#_x0000_t75" style="width:68.25pt;height:15.9pt" o:ole="">
            <v:imagedata r:id="rId64" o:title=""/>
          </v:shape>
          <o:OLEObject Type="Embed" ProgID="Equation.3" ShapeID="_x0000_i1053" DrawAspect="Content" ObjectID="_1410106748" r:id="rId65"/>
        </w:object>
      </w:r>
      <w:r>
        <w:rPr>
          <w:sz w:val="28"/>
        </w:rPr>
        <w:t>, (5)</w:t>
      </w:r>
    </w:p>
    <w:p w:rsidR="00D66641" w:rsidRDefault="00D66641" w:rsidP="0006600C">
      <w:pPr>
        <w:tabs>
          <w:tab w:val="left" w:pos="2120"/>
        </w:tabs>
        <w:ind w:left="-567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position w:val="-10"/>
          <w:sz w:val="28"/>
        </w:rPr>
        <w:object w:dxaOrig="240" w:dyaOrig="320">
          <v:shape id="_x0000_i1054" type="#_x0000_t75" style="width:12.15pt;height:15.9pt" o:ole="">
            <v:imagedata r:id="rId66" o:title=""/>
          </v:shape>
          <o:OLEObject Type="Embed" ProgID="Equation.3" ShapeID="_x0000_i1054" DrawAspect="Content" ObjectID="_1410106749" r:id="rId67"/>
        </w:object>
      </w:r>
      <w:r>
        <w:rPr>
          <w:sz w:val="28"/>
        </w:rPr>
        <w:t xml:space="preserve"> - параметр, оцениваемый статистически на основе ретроспективных динамических рядов.</w:t>
      </w:r>
    </w:p>
    <w:p w:rsidR="00D66641" w:rsidRDefault="00D66641" w:rsidP="0006600C">
      <w:pPr>
        <w:tabs>
          <w:tab w:val="left" w:pos="2120"/>
        </w:tabs>
        <w:ind w:left="-567" w:firstLine="454"/>
        <w:jc w:val="both"/>
        <w:rPr>
          <w:sz w:val="28"/>
        </w:rPr>
      </w:pPr>
      <w:r>
        <w:rPr>
          <w:sz w:val="28"/>
        </w:rPr>
        <w:t>Функция (1) с учётом равенства (5) может быть приведена к линейному виду при помощи логарифмирования:</w:t>
      </w:r>
    </w:p>
    <w:p w:rsidR="00D66641" w:rsidRDefault="00D66641" w:rsidP="0006600C">
      <w:pPr>
        <w:tabs>
          <w:tab w:val="left" w:pos="2120"/>
        </w:tabs>
        <w:ind w:left="-567" w:firstLine="454"/>
        <w:jc w:val="center"/>
        <w:rPr>
          <w:sz w:val="28"/>
        </w:rPr>
      </w:pPr>
      <w:r>
        <w:rPr>
          <w:position w:val="-10"/>
          <w:sz w:val="28"/>
        </w:rPr>
        <w:object w:dxaOrig="4620" w:dyaOrig="320">
          <v:shape id="_x0000_i1055" type="#_x0000_t75" style="width:230.95pt;height:15.9pt" o:ole="">
            <v:imagedata r:id="rId68" o:title=""/>
          </v:shape>
          <o:OLEObject Type="Embed" ProgID="Equation.3" ShapeID="_x0000_i1055" DrawAspect="Content" ObjectID="_1410106750" r:id="rId69"/>
        </w:object>
      </w:r>
      <w:r>
        <w:rPr>
          <w:sz w:val="28"/>
        </w:rPr>
        <w:t>.</w:t>
      </w:r>
    </w:p>
    <w:p w:rsidR="00D66641" w:rsidRDefault="00D66641" w:rsidP="0006600C">
      <w:pPr>
        <w:tabs>
          <w:tab w:val="left" w:pos="2120"/>
        </w:tabs>
        <w:ind w:left="-567" w:firstLine="454"/>
        <w:rPr>
          <w:sz w:val="28"/>
        </w:rPr>
      </w:pPr>
      <w:r>
        <w:rPr>
          <w:sz w:val="28"/>
        </w:rPr>
        <w:t>Тогда</w:t>
      </w:r>
    </w:p>
    <w:p w:rsidR="00D66641" w:rsidRDefault="00D66641" w:rsidP="0006600C">
      <w:pPr>
        <w:tabs>
          <w:tab w:val="left" w:pos="2120"/>
        </w:tabs>
        <w:ind w:left="-567" w:firstLine="454"/>
        <w:jc w:val="center"/>
        <w:rPr>
          <w:sz w:val="28"/>
        </w:rPr>
      </w:pPr>
      <w:r>
        <w:rPr>
          <w:position w:val="-10"/>
          <w:sz w:val="28"/>
          <w:lang w:val="en-US"/>
        </w:rPr>
        <w:object w:dxaOrig="5300" w:dyaOrig="360">
          <v:shape id="_x0000_i1056" type="#_x0000_t75" style="width:264.6pt;height:17.75pt" o:ole="">
            <v:imagedata r:id="rId70" o:title=""/>
          </v:shape>
          <o:OLEObject Type="Embed" ProgID="Equation.3" ShapeID="_x0000_i1056" DrawAspect="Content" ObjectID="_1410106751" r:id="rId71"/>
        </w:object>
      </w:r>
      <w:r w:rsidRPr="00D66641">
        <w:rPr>
          <w:sz w:val="28"/>
        </w:rPr>
        <w:t xml:space="preserve"> </w:t>
      </w:r>
      <w:r>
        <w:rPr>
          <w:sz w:val="28"/>
        </w:rPr>
        <w:t>. (6)</w:t>
      </w:r>
    </w:p>
    <w:p w:rsidR="00D66641" w:rsidRDefault="00D66641" w:rsidP="0006600C">
      <w:pPr>
        <w:tabs>
          <w:tab w:val="left" w:pos="2120"/>
        </w:tabs>
        <w:spacing w:after="120"/>
        <w:ind w:left="-567" w:firstLine="454"/>
        <w:jc w:val="both"/>
        <w:rPr>
          <w:sz w:val="28"/>
        </w:rPr>
      </w:pPr>
      <w:r>
        <w:rPr>
          <w:sz w:val="28"/>
        </w:rPr>
        <w:t>Изложенные подходы к экономико-математическому моделированию налоговой нагрузки были апробированы на примере экономики Новосибирской области. Исходные данные приведены в табл. 2.</w:t>
      </w:r>
    </w:p>
    <w:p w:rsidR="00D66641" w:rsidRPr="0006600C" w:rsidRDefault="0006600C" w:rsidP="0006600C">
      <w:pPr>
        <w:tabs>
          <w:tab w:val="left" w:pos="2120"/>
        </w:tabs>
        <w:ind w:left="-567" w:firstLine="454"/>
        <w:jc w:val="center"/>
        <w:rPr>
          <w:i/>
          <w:sz w:val="28"/>
        </w:rPr>
      </w:pPr>
      <w:r w:rsidRPr="0006600C">
        <w:rPr>
          <w:i/>
          <w:sz w:val="28"/>
        </w:rPr>
        <w:t xml:space="preserve">Таблица 2. </w:t>
      </w:r>
      <w:r w:rsidR="00D66641" w:rsidRPr="0006600C">
        <w:rPr>
          <w:i/>
          <w:sz w:val="28"/>
        </w:rPr>
        <w:t xml:space="preserve">Показатели, характеризующие экономическое развитие </w:t>
      </w:r>
    </w:p>
    <w:p w:rsidR="00D66641" w:rsidRPr="0006600C" w:rsidRDefault="00D66641" w:rsidP="0006600C">
      <w:pPr>
        <w:tabs>
          <w:tab w:val="left" w:pos="2120"/>
        </w:tabs>
        <w:ind w:left="-567" w:firstLine="454"/>
        <w:jc w:val="center"/>
        <w:rPr>
          <w:i/>
          <w:sz w:val="28"/>
        </w:rPr>
      </w:pPr>
      <w:r w:rsidRPr="0006600C">
        <w:rPr>
          <w:i/>
          <w:sz w:val="28"/>
        </w:rPr>
        <w:t>Новосибирской области в 1995 – 2009 гг.</w:t>
      </w:r>
      <w:r w:rsidRPr="0006600C">
        <w:rPr>
          <w:i/>
        </w:rPr>
        <w:t>*</w:t>
      </w:r>
    </w:p>
    <w:tbl>
      <w:tblPr>
        <w:tblStyle w:val="af0"/>
        <w:tblW w:w="10173" w:type="dxa"/>
        <w:tblInd w:w="-567" w:type="dxa"/>
        <w:tblLook w:val="04A0"/>
      </w:tblPr>
      <w:tblGrid>
        <w:gridCol w:w="1242"/>
        <w:gridCol w:w="2127"/>
        <w:gridCol w:w="2268"/>
        <w:gridCol w:w="2268"/>
        <w:gridCol w:w="2268"/>
      </w:tblGrid>
      <w:tr w:rsidR="00D66641" w:rsidTr="00D6664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Налоговые поступления, млн. руб.</w:t>
            </w:r>
            <w:r>
              <w:t>**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ВРП, млн. руб.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Стоимость основных фондов, млн. руб.</w:t>
            </w:r>
            <w:r>
              <w:t>***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Число занятых, тыс. чел.</w:t>
            </w:r>
            <w:r>
              <w:t>****</w:t>
            </w:r>
          </w:p>
        </w:tc>
      </w:tr>
      <w:tr w:rsidR="00D66641" w:rsidTr="00D6664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1995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5 193,4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21 323,4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83 958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1 197,9</w:t>
            </w:r>
          </w:p>
        </w:tc>
      </w:tr>
      <w:tr w:rsidR="00D66641" w:rsidTr="00D6664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1996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6 861,1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30 358,3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226 254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1 151,4</w:t>
            </w:r>
          </w:p>
        </w:tc>
      </w:tr>
      <w:tr w:rsidR="00D66641" w:rsidTr="00D6664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1997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7 736,7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34 308,7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265 202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1 083,2</w:t>
            </w:r>
          </w:p>
        </w:tc>
      </w:tr>
      <w:tr w:rsidR="00D66641" w:rsidTr="00D6664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1998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7 418,2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34 399,0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264 447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1 098,6</w:t>
            </w:r>
          </w:p>
        </w:tc>
      </w:tr>
      <w:tr w:rsidR="00D66641" w:rsidTr="00D6664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1999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10 113,8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52 746,5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255 058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1 121,5</w:t>
            </w:r>
          </w:p>
        </w:tc>
      </w:tr>
      <w:tr w:rsidR="00D66641" w:rsidTr="00D6664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2000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14 069,5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72 012,7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320 944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1 130,0</w:t>
            </w:r>
          </w:p>
        </w:tc>
      </w:tr>
      <w:tr w:rsidR="00D66641" w:rsidTr="00D6664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2001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25 332,1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95 298,9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346 811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1 125,6</w:t>
            </w:r>
          </w:p>
        </w:tc>
      </w:tr>
      <w:tr w:rsidR="00D66641" w:rsidTr="00D6664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2002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28 526,5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123 085,0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440 046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1 133,5</w:t>
            </w:r>
          </w:p>
        </w:tc>
      </w:tr>
      <w:tr w:rsidR="00D66641" w:rsidTr="00D6664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lastRenderedPageBreak/>
              <w:t>2003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33 763,7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153 799,0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511 803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1 192,6</w:t>
            </w:r>
          </w:p>
        </w:tc>
      </w:tr>
      <w:tr w:rsidR="00D66641" w:rsidTr="00D6664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2004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33 465,9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191 827,0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545 077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1 205,3</w:t>
            </w:r>
          </w:p>
        </w:tc>
      </w:tr>
      <w:tr w:rsidR="00D66641" w:rsidTr="00D6664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2005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43 913,0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235 382,0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595 609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1 221,7</w:t>
            </w:r>
          </w:p>
        </w:tc>
      </w:tr>
      <w:tr w:rsidR="00D66641" w:rsidTr="00D6664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2006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57 041,1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296 065,0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682 585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1 229,8</w:t>
            </w:r>
          </w:p>
        </w:tc>
      </w:tr>
      <w:tr w:rsidR="00D66641" w:rsidTr="00D6664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2007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77 267,4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365 531,0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820 667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1 244,7</w:t>
            </w:r>
          </w:p>
        </w:tc>
      </w:tr>
      <w:tr w:rsidR="00D66641" w:rsidTr="00D6664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2008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92 181,9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453 575,0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939 236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1 271,2</w:t>
            </w:r>
          </w:p>
        </w:tc>
      </w:tr>
      <w:tr w:rsidR="00D66641" w:rsidTr="00D6664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2009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83 262,2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423 946,0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1 055 081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1 255,9</w:t>
            </w:r>
          </w:p>
        </w:tc>
      </w:tr>
    </w:tbl>
    <w:p w:rsidR="00D66641" w:rsidRDefault="00D66641" w:rsidP="00D66641">
      <w:pPr>
        <w:tabs>
          <w:tab w:val="left" w:pos="2120"/>
        </w:tabs>
        <w:ind w:left="-567" w:firstLine="454"/>
        <w:rPr>
          <w:noProof/>
        </w:rPr>
      </w:pPr>
      <w:r>
        <w:rPr>
          <w:noProof/>
        </w:rPr>
        <w:t>*Данные приведены с учётом деноминации 1998 г.</w:t>
      </w:r>
    </w:p>
    <w:p w:rsidR="00D66641" w:rsidRDefault="00D66641" w:rsidP="00D66641">
      <w:pPr>
        <w:tabs>
          <w:tab w:val="left" w:pos="2120"/>
        </w:tabs>
        <w:ind w:left="-567" w:firstLine="454"/>
      </w:pPr>
      <w:r>
        <w:rPr>
          <w:noProof/>
          <w:sz w:val="28"/>
        </w:rPr>
        <w:t>**</w:t>
      </w:r>
      <w:r>
        <w:t xml:space="preserve"> Поступление налогов, сборов и иных обязательных платежей в бюджетную систему РФ по Новосибирской области, млн. руб.</w:t>
      </w:r>
    </w:p>
    <w:p w:rsidR="00D66641" w:rsidRDefault="00D66641" w:rsidP="00D66641">
      <w:pPr>
        <w:tabs>
          <w:tab w:val="left" w:pos="2120"/>
        </w:tabs>
        <w:ind w:left="-567" w:firstLine="454"/>
      </w:pPr>
      <w:r>
        <w:t>*** Полная учётная стоимость основных фондов на конец года, млн. руб.</w:t>
      </w:r>
    </w:p>
    <w:p w:rsidR="00D66641" w:rsidRDefault="00D66641" w:rsidP="00D66641">
      <w:pPr>
        <w:tabs>
          <w:tab w:val="left" w:pos="2120"/>
        </w:tabs>
        <w:ind w:left="-567" w:firstLine="454"/>
      </w:pPr>
      <w:r>
        <w:t>**** Среднегодовая численность занятых в экономике, тыс. чел.</w:t>
      </w:r>
    </w:p>
    <w:p w:rsidR="00D66641" w:rsidRDefault="00D66641" w:rsidP="00D66641">
      <w:pPr>
        <w:tabs>
          <w:tab w:val="left" w:pos="2120"/>
        </w:tabs>
        <w:ind w:left="-567" w:firstLine="454"/>
        <w:rPr>
          <w:noProof/>
          <w:sz w:val="28"/>
        </w:rPr>
      </w:pPr>
    </w:p>
    <w:p w:rsidR="00D66641" w:rsidRDefault="00D66641" w:rsidP="0006600C">
      <w:pPr>
        <w:tabs>
          <w:tab w:val="left" w:pos="2120"/>
        </w:tabs>
        <w:spacing w:after="120"/>
        <w:ind w:left="-567" w:firstLine="454"/>
        <w:jc w:val="both"/>
        <w:rPr>
          <w:sz w:val="28"/>
        </w:rPr>
      </w:pPr>
      <w:r>
        <w:rPr>
          <w:sz w:val="28"/>
        </w:rPr>
        <w:t>В результате решения оптимизационной задачи с целевой функцией минимизации среднеквадратического отклонения фактических значений ВРП от расчётных были получены значения параметров функции (табл. 3).</w:t>
      </w:r>
      <w:r w:rsidRPr="00D66641">
        <w:rPr>
          <w:sz w:val="28"/>
        </w:rPr>
        <w:t xml:space="preserve"> </w:t>
      </w:r>
      <w:r w:rsidR="0006600C">
        <w:rPr>
          <w:sz w:val="28"/>
        </w:rPr>
        <w:t>Из анализа был исключён фактор времени в связи</w:t>
      </w:r>
      <w:r>
        <w:rPr>
          <w:sz w:val="28"/>
        </w:rPr>
        <w:t xml:space="preserve"> с тем, что экономический рост на территории Новосибирской области был обеспечен в первую очередь экстенсивными факторами (т.е. за счёт абсолютных приростов факторов производства), нежели интенсивными (влиянием НТП на развитие производительных сил региона). Качественная характеристика зависимости позволяет говорить о высокой статистической з</w:t>
      </w:r>
      <w:r w:rsidR="0006600C">
        <w:rPr>
          <w:sz w:val="28"/>
        </w:rPr>
        <w:t>начимости полученного уравнения.</w:t>
      </w:r>
    </w:p>
    <w:p w:rsidR="00D66641" w:rsidRPr="0006600C" w:rsidRDefault="0006600C" w:rsidP="0006600C">
      <w:pPr>
        <w:tabs>
          <w:tab w:val="left" w:pos="2120"/>
        </w:tabs>
        <w:ind w:left="-567" w:firstLine="454"/>
        <w:jc w:val="center"/>
        <w:rPr>
          <w:i/>
          <w:sz w:val="28"/>
        </w:rPr>
      </w:pPr>
      <w:r w:rsidRPr="0006600C">
        <w:rPr>
          <w:i/>
          <w:sz w:val="28"/>
        </w:rPr>
        <w:t xml:space="preserve">Таблица 3. </w:t>
      </w:r>
      <w:r w:rsidR="00D66641" w:rsidRPr="0006600C">
        <w:rPr>
          <w:i/>
          <w:sz w:val="28"/>
        </w:rPr>
        <w:t>Статистическ</w:t>
      </w:r>
      <w:r w:rsidRPr="0006600C">
        <w:rPr>
          <w:i/>
          <w:sz w:val="28"/>
        </w:rPr>
        <w:t xml:space="preserve">ая оценка параметров модели </w:t>
      </w:r>
    </w:p>
    <w:p w:rsidR="00D66641" w:rsidRPr="0006600C" w:rsidRDefault="00D66641" w:rsidP="0006600C">
      <w:pPr>
        <w:tabs>
          <w:tab w:val="left" w:pos="2120"/>
        </w:tabs>
        <w:ind w:left="-567" w:firstLine="454"/>
        <w:jc w:val="center"/>
        <w:rPr>
          <w:i/>
          <w:sz w:val="28"/>
        </w:rPr>
      </w:pPr>
      <w:r w:rsidRPr="0006600C">
        <w:rPr>
          <w:i/>
          <w:sz w:val="28"/>
        </w:rPr>
        <w:t>в случае исключения фактора времени</w:t>
      </w:r>
    </w:p>
    <w:tbl>
      <w:tblPr>
        <w:tblStyle w:val="af0"/>
        <w:tblW w:w="9199" w:type="dxa"/>
        <w:jc w:val="center"/>
        <w:tblInd w:w="-885" w:type="dxa"/>
        <w:tblLook w:val="04A0"/>
      </w:tblPr>
      <w:tblGrid>
        <w:gridCol w:w="1587"/>
        <w:gridCol w:w="1472"/>
        <w:gridCol w:w="1307"/>
        <w:gridCol w:w="167"/>
        <w:gridCol w:w="1045"/>
        <w:gridCol w:w="316"/>
        <w:gridCol w:w="891"/>
        <w:gridCol w:w="1206"/>
        <w:gridCol w:w="1208"/>
      </w:tblGrid>
      <w:tr w:rsidR="00D66641" w:rsidTr="00D66641">
        <w:trPr>
          <w:jc w:val="center"/>
        </w:trPr>
        <w:tc>
          <w:tcPr>
            <w:tcW w:w="3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t>Коэффициент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position w:val="-10"/>
                <w:sz w:val="24"/>
                <w:szCs w:val="24"/>
              </w:rPr>
              <w:object w:dxaOrig="200" w:dyaOrig="260">
                <v:shape id="_x0000_i1057" type="#_x0000_t75" style="width:9.35pt;height:13.1pt" o:ole="">
                  <v:imagedata r:id="rId72" o:title=""/>
                </v:shape>
                <o:OLEObject Type="Embed" ProgID="Equation.3" ShapeID="_x0000_i1057" DrawAspect="Content" ObjectID="_1410106752" r:id="rId73"/>
              </w:objec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position w:val="-6"/>
                <w:sz w:val="24"/>
                <w:szCs w:val="24"/>
              </w:rPr>
              <w:object w:dxaOrig="200" w:dyaOrig="220">
                <v:shape id="_x0000_i1058" type="#_x0000_t75" style="width:9.35pt;height:11.2pt" o:ole="">
                  <v:imagedata r:id="rId74" o:title=""/>
                </v:shape>
                <o:OLEObject Type="Embed" ProgID="Equation.3" ShapeID="_x0000_i1058" DrawAspect="Content" ObjectID="_1410106753" r:id="rId75"/>
              </w:objec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position w:val="-6"/>
                <w:sz w:val="24"/>
                <w:szCs w:val="24"/>
              </w:rPr>
              <w:object w:dxaOrig="200" w:dyaOrig="279">
                <v:shape id="_x0000_i1059" type="#_x0000_t75" style="width:9.35pt;height:14.05pt" o:ole="">
                  <v:imagedata r:id="rId76" o:title=""/>
                </v:shape>
                <o:OLEObject Type="Embed" ProgID="Equation.3" ShapeID="_x0000_i1059" DrawAspect="Content" ObjectID="_1410106754" r:id="rId77"/>
              </w:objec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position w:val="-6"/>
                <w:sz w:val="24"/>
                <w:szCs w:val="24"/>
              </w:rPr>
              <w:object w:dxaOrig="200" w:dyaOrig="220">
                <v:shape id="_x0000_i1060" type="#_x0000_t75" style="width:9.35pt;height:11.2pt" o:ole="">
                  <v:imagedata r:id="rId78" o:title=""/>
                </v:shape>
                <o:OLEObject Type="Embed" ProgID="Equation.3" ShapeID="_x0000_i1060" DrawAspect="Content" ObjectID="_1410106755" r:id="rId79"/>
              </w:objec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position w:val="-6"/>
                <w:sz w:val="24"/>
                <w:szCs w:val="24"/>
              </w:rPr>
              <w:object w:dxaOrig="260" w:dyaOrig="220">
                <v:shape id="_x0000_i1061" type="#_x0000_t75" style="width:13.1pt;height:11.2pt" o:ole="">
                  <v:imagedata r:id="rId80" o:title=""/>
                </v:shape>
                <o:OLEObject Type="Embed" ProgID="Equation.3" ShapeID="_x0000_i1061" DrawAspect="Content" ObjectID="_1410106756" r:id="rId81"/>
              </w:object>
            </w:r>
          </w:p>
        </w:tc>
      </w:tr>
      <w:tr w:rsidR="00D66641" w:rsidTr="00D66641">
        <w:trPr>
          <w:jc w:val="center"/>
        </w:trPr>
        <w:tc>
          <w:tcPr>
            <w:tcW w:w="3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t>Значение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12</w: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t>16,77</w: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t>-28,49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t>-19,51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t>31,22</w:t>
            </w:r>
          </w:p>
        </w:tc>
      </w:tr>
      <w:tr w:rsidR="00D66641" w:rsidTr="00D66641">
        <w:trPr>
          <w:jc w:val="center"/>
        </w:trPr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t</w:t>
            </w:r>
            <w:r>
              <w:t xml:space="preserve">-статистика (р=0,05; </w:t>
            </w:r>
            <w:r>
              <w:rPr>
                <w:lang w:val="en-US"/>
              </w:rPr>
              <w:t>v=</w:t>
            </w:r>
            <w:r>
              <w:t>10</w:t>
            </w:r>
            <w:r>
              <w:rPr>
                <w:lang w:val="en-US"/>
              </w:rPr>
              <w:t>)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t>наблюдаемое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t>4,23</w: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t>5,72</w: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t>-4,81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t>-5,59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t>4,84</w:t>
            </w:r>
          </w:p>
        </w:tc>
      </w:tr>
      <w:tr w:rsidR="00D66641" w:rsidTr="00D66641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t>критическое</w:t>
            </w:r>
          </w:p>
        </w:tc>
        <w:tc>
          <w:tcPr>
            <w:tcW w:w="61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t>2,23</w:t>
            </w:r>
          </w:p>
        </w:tc>
      </w:tr>
      <w:tr w:rsidR="00D66641" w:rsidTr="00D66641">
        <w:trPr>
          <w:jc w:val="center"/>
        </w:trPr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rPr>
                <w:sz w:val="24"/>
                <w:szCs w:val="24"/>
              </w:rPr>
            </w:pPr>
            <w:r>
              <w:t xml:space="preserve">Критерий Фишера (р=0,05; </w:t>
            </w:r>
            <w:r>
              <w:rPr>
                <w:lang w:val="en-US"/>
              </w:rPr>
              <w:t>v</w:t>
            </w:r>
            <w:r>
              <w:rPr>
                <w:vertAlign w:val="subscript"/>
              </w:rPr>
              <w:t>1</w:t>
            </w:r>
            <w:r>
              <w:t xml:space="preserve">=4; </w:t>
            </w:r>
            <w:r>
              <w:rPr>
                <w:lang w:val="en-US"/>
              </w:rPr>
              <w:t>v</w:t>
            </w:r>
            <w:r>
              <w:rPr>
                <w:vertAlign w:val="subscript"/>
              </w:rPr>
              <w:t>2</w:t>
            </w:r>
            <w:r>
              <w:t>=10)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t>наблюдаемое</w:t>
            </w:r>
          </w:p>
        </w:tc>
        <w:tc>
          <w:tcPr>
            <w:tcW w:w="61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t>42,02</w:t>
            </w:r>
          </w:p>
        </w:tc>
      </w:tr>
      <w:tr w:rsidR="00D66641" w:rsidTr="00D66641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t>критическое</w:t>
            </w:r>
          </w:p>
        </w:tc>
        <w:tc>
          <w:tcPr>
            <w:tcW w:w="61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t>3,48</w:t>
            </w:r>
          </w:p>
        </w:tc>
      </w:tr>
      <w:tr w:rsidR="00D66641" w:rsidTr="00D66641">
        <w:trPr>
          <w:jc w:val="center"/>
        </w:trPr>
        <w:tc>
          <w:tcPr>
            <w:tcW w:w="3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t>Статистический анализ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position w:val="-10"/>
                <w:sz w:val="24"/>
                <w:szCs w:val="24"/>
              </w:rPr>
              <w:object w:dxaOrig="1100" w:dyaOrig="380">
                <v:shape id="_x0000_i1062" type="#_x0000_t75" style="width:55.15pt;height:18.7pt" o:ole="">
                  <v:imagedata r:id="rId82" o:title=""/>
                </v:shape>
                <o:OLEObject Type="Embed" ProgID="Equation.3" ShapeID="_x0000_i1062" DrawAspect="Content" ObjectID="_1410106757" r:id="rId83"/>
              </w:object>
            </w:r>
          </w:p>
        </w:tc>
        <w:tc>
          <w:tcPr>
            <w:tcW w:w="136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position w:val="-10"/>
                <w:sz w:val="24"/>
                <w:szCs w:val="24"/>
              </w:rPr>
              <w:object w:dxaOrig="1140" w:dyaOrig="320">
                <v:shape id="_x0000_i1063" type="#_x0000_t75" style="width:57.05pt;height:15.9pt" o:ole="">
                  <v:imagedata r:id="rId84" o:title=""/>
                </v:shape>
                <o:OLEObject Type="Embed" ProgID="Equation.3" ShapeID="_x0000_i1063" DrawAspect="Content" ObjectID="_1410106758" r:id="rId85"/>
              </w:object>
            </w:r>
          </w:p>
        </w:tc>
        <w:tc>
          <w:tcPr>
            <w:tcW w:w="210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position w:val="-10"/>
                <w:sz w:val="24"/>
                <w:szCs w:val="24"/>
              </w:rPr>
              <w:object w:dxaOrig="1120" w:dyaOrig="320">
                <v:shape id="_x0000_i1064" type="#_x0000_t75" style="width:56.1pt;height:15.9pt" o:ole="">
                  <v:imagedata r:id="rId86" o:title=""/>
                </v:shape>
                <o:OLEObject Type="Embed" ProgID="Equation.3" ShapeID="_x0000_i1064" DrawAspect="Content" ObjectID="_1410106759" r:id="rId87"/>
              </w:object>
            </w:r>
          </w:p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  <w:lang w:val="en-US"/>
              </w:rPr>
            </w:pPr>
            <w:r>
              <w:t>(</w:t>
            </w: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=0,</w:t>
            </w:r>
            <w:r>
              <w:t>69</w:t>
            </w:r>
            <w:r>
              <w:rPr>
                <w:lang w:val="en-US"/>
              </w:rPr>
              <w:t>; d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>
              <w:t>1</w:t>
            </w:r>
            <w:r>
              <w:rPr>
                <w:lang w:val="en-US"/>
              </w:rPr>
              <w:t>,</w:t>
            </w:r>
            <w:r>
              <w:t>97</w:t>
            </w:r>
            <w:r>
              <w:rPr>
                <w:lang w:val="en-US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position w:val="-6"/>
                <w:sz w:val="24"/>
                <w:szCs w:val="24"/>
              </w:rPr>
              <w:object w:dxaOrig="740" w:dyaOrig="280">
                <v:shape id="_x0000_i1065" type="#_x0000_t75" style="width:36.45pt;height:14.05pt" o:ole="">
                  <v:imagedata r:id="rId88" o:title=""/>
                </v:shape>
                <o:OLEObject Type="Embed" ProgID="Equation.3" ShapeID="_x0000_i1065" DrawAspect="Content" ObjectID="_1410106760" r:id="rId89"/>
              </w:object>
            </w:r>
          </w:p>
        </w:tc>
      </w:tr>
    </w:tbl>
    <w:p w:rsidR="00D66641" w:rsidRDefault="00D66641" w:rsidP="00D66641">
      <w:pPr>
        <w:tabs>
          <w:tab w:val="left" w:pos="2120"/>
        </w:tabs>
        <w:spacing w:line="360" w:lineRule="auto"/>
        <w:jc w:val="both"/>
        <w:rPr>
          <w:sz w:val="28"/>
        </w:rPr>
      </w:pPr>
    </w:p>
    <w:p w:rsidR="00D66641" w:rsidRDefault="00D66641" w:rsidP="0006600C">
      <w:pPr>
        <w:tabs>
          <w:tab w:val="left" w:pos="2120"/>
        </w:tabs>
        <w:ind w:left="-567" w:firstLine="454"/>
        <w:jc w:val="both"/>
        <w:rPr>
          <w:sz w:val="28"/>
        </w:rPr>
      </w:pPr>
      <w:r>
        <w:rPr>
          <w:sz w:val="28"/>
        </w:rPr>
        <w:t>Уравнение регрессии принимает вид:</w:t>
      </w:r>
    </w:p>
    <w:p w:rsidR="00D66641" w:rsidRDefault="00D66641" w:rsidP="0006600C">
      <w:pPr>
        <w:tabs>
          <w:tab w:val="left" w:pos="2120"/>
        </w:tabs>
        <w:ind w:left="-567" w:firstLine="454"/>
        <w:jc w:val="center"/>
        <w:rPr>
          <w:sz w:val="28"/>
          <w:szCs w:val="28"/>
        </w:rPr>
      </w:pPr>
      <w:r>
        <w:rPr>
          <w:position w:val="-10"/>
          <w:sz w:val="28"/>
          <w:lang w:val="en-US"/>
        </w:rPr>
        <w:object w:dxaOrig="6560" w:dyaOrig="360">
          <v:shape id="_x0000_i1066" type="#_x0000_t75" style="width:327.25pt;height:17.75pt" o:ole="">
            <v:imagedata r:id="rId90" o:title=""/>
          </v:shape>
          <o:OLEObject Type="Embed" ProgID="Equation.3" ShapeID="_x0000_i1066" DrawAspect="Content" ObjectID="_1410106761" r:id="rId91"/>
        </w:object>
      </w:r>
    </w:p>
    <w:p w:rsidR="00D66641" w:rsidRDefault="00D66641" w:rsidP="0006600C">
      <w:pPr>
        <w:tabs>
          <w:tab w:val="left" w:pos="2120"/>
        </w:tabs>
        <w:ind w:left="-567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Расчётные значения фискальных кривых представлены на рис. </w:t>
      </w:r>
      <w:r w:rsidR="0006600C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D66641" w:rsidRDefault="00D66641" w:rsidP="00D66641">
      <w:pPr>
        <w:tabs>
          <w:tab w:val="left" w:pos="2120"/>
        </w:tabs>
        <w:spacing w:line="360" w:lineRule="auto"/>
        <w:ind w:left="-567" w:firstLine="454"/>
        <w:jc w:val="both"/>
        <w:rPr>
          <w:sz w:val="28"/>
          <w:szCs w:val="28"/>
        </w:rPr>
      </w:pPr>
      <w:r>
        <w:lastRenderedPageBreak/>
        <w:pict>
          <v:shape id="_x0000_s1045" type="#_x0000_t202" style="position:absolute;left:0;text-align:left;margin-left:352.7pt;margin-top:259.6pt;width:35.25pt;height:22.2pt;z-index:251679744;mso-height-percent:200;mso-height-percent:200;mso-width-relative:margin;mso-height-relative:margin" strokecolor="white [3212]">
            <v:textbox style="mso-next-textbox:#_x0000_s1045;mso-fit-shape-to-text:t">
              <w:txbxContent>
                <w:p w:rsidR="0006600C" w:rsidRDefault="0006600C" w:rsidP="00D66641">
                  <w:r>
                    <w:t>Год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inline distT="0" distB="0" distL="0" distR="0">
            <wp:extent cx="6102985" cy="3646805"/>
            <wp:effectExtent l="0" t="0" r="0" b="0"/>
            <wp:docPr id="16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2"/>
              </a:graphicData>
            </a:graphic>
          </wp:inline>
        </w:drawing>
      </w:r>
    </w:p>
    <w:p w:rsidR="00D66641" w:rsidRPr="0006600C" w:rsidRDefault="00D66641" w:rsidP="0006600C">
      <w:pPr>
        <w:spacing w:after="120"/>
        <w:ind w:left="-567"/>
        <w:jc w:val="center"/>
        <w:rPr>
          <w:i/>
          <w:sz w:val="28"/>
          <w:szCs w:val="28"/>
        </w:rPr>
      </w:pPr>
      <w:r w:rsidRPr="0006600C">
        <w:rPr>
          <w:i/>
          <w:sz w:val="28"/>
          <w:szCs w:val="28"/>
        </w:rPr>
        <w:t>Рис</w:t>
      </w:r>
      <w:r w:rsidR="0006600C" w:rsidRPr="0006600C">
        <w:rPr>
          <w:i/>
          <w:sz w:val="28"/>
          <w:szCs w:val="28"/>
        </w:rPr>
        <w:t>унок</w:t>
      </w:r>
      <w:r w:rsidRPr="0006600C">
        <w:rPr>
          <w:i/>
          <w:sz w:val="28"/>
          <w:szCs w:val="28"/>
        </w:rPr>
        <w:t xml:space="preserve"> </w:t>
      </w:r>
      <w:r w:rsidR="0006600C" w:rsidRPr="0006600C">
        <w:rPr>
          <w:i/>
          <w:sz w:val="28"/>
          <w:szCs w:val="28"/>
        </w:rPr>
        <w:t>5</w:t>
      </w:r>
      <w:r w:rsidRPr="0006600C">
        <w:rPr>
          <w:i/>
          <w:sz w:val="28"/>
          <w:szCs w:val="28"/>
        </w:rPr>
        <w:t>. Фискальные индикаторы экономики Новосибирской области</w:t>
      </w:r>
    </w:p>
    <w:p w:rsidR="00D66641" w:rsidRPr="0006600C" w:rsidRDefault="00D66641" w:rsidP="0006600C">
      <w:pPr>
        <w:spacing w:after="120"/>
        <w:ind w:left="-567"/>
        <w:jc w:val="center"/>
        <w:rPr>
          <w:i/>
          <w:sz w:val="28"/>
          <w:szCs w:val="28"/>
        </w:rPr>
      </w:pPr>
      <w:r w:rsidRPr="0006600C">
        <w:rPr>
          <w:i/>
          <w:sz w:val="28"/>
          <w:szCs w:val="28"/>
        </w:rPr>
        <w:t xml:space="preserve"> в 1995 – 2009 гг.</w:t>
      </w:r>
    </w:p>
    <w:p w:rsidR="00D66641" w:rsidRDefault="00D66641" w:rsidP="0006600C">
      <w:pPr>
        <w:tabs>
          <w:tab w:val="left" w:pos="2120"/>
        </w:tabs>
        <w:ind w:left="-567" w:firstLine="454"/>
        <w:jc w:val="both"/>
        <w:rPr>
          <w:sz w:val="28"/>
        </w:rPr>
      </w:pPr>
      <w:r>
        <w:rPr>
          <w:sz w:val="28"/>
        </w:rPr>
        <w:t>Первое, что необходимо отметить - высокая стабильность точек Лаффера 1-го и 2-го рода: вариация точек Лаффера 1-го рода за весь исследуемый период составила 4,37 %, точек Лаффера 2-го рода – 2,97 %. В это же время вариация точек фактического налогового бремени составила 9,14 %. Налоговая нагрузка на экономику региона была максимальной в 2001 г. и минимальной уже в 2004 г., что свидетельствует о непоследовательном характере проводимой налоговой политики</w:t>
      </w:r>
      <w:r>
        <w:rPr>
          <w:rStyle w:val="a6"/>
          <w:sz w:val="28"/>
        </w:rPr>
        <w:footnoteReference w:id="1"/>
      </w:r>
      <w:r>
        <w:rPr>
          <w:sz w:val="28"/>
        </w:rPr>
        <w:t>.</w:t>
      </w:r>
    </w:p>
    <w:p w:rsidR="00D66641" w:rsidRDefault="00D66641" w:rsidP="0006600C">
      <w:pPr>
        <w:tabs>
          <w:tab w:val="left" w:pos="2120"/>
        </w:tabs>
        <w:ind w:left="-567" w:firstLine="454"/>
        <w:jc w:val="both"/>
        <w:rPr>
          <w:sz w:val="28"/>
        </w:rPr>
      </w:pPr>
      <w:r>
        <w:rPr>
          <w:sz w:val="28"/>
        </w:rPr>
        <w:t>Во-вторых, на протяжении исследуемого периода происходило взаимное сближение точек Лаффера 1-го и 2-го рода: разность между ними за этот период сократилась с 2,67 % в 1995 г. до 1,27 % в 2009 г. Финансовая устойчивость хозяйствующих субъектов становится всё более чувствительной к уровню налоговой нагрузки (что характерно для экономик развитых стран). В условиях рынка выгоднее прекратить существование хозяйствующего субъекта, чем работать себе в убыток.</w:t>
      </w:r>
    </w:p>
    <w:p w:rsidR="00D66641" w:rsidRDefault="00D66641" w:rsidP="0006600C">
      <w:pPr>
        <w:tabs>
          <w:tab w:val="left" w:pos="2120"/>
        </w:tabs>
        <w:ind w:left="-567" w:firstLine="454"/>
        <w:jc w:val="both"/>
        <w:rPr>
          <w:sz w:val="28"/>
        </w:rPr>
      </w:pPr>
      <w:r>
        <w:rPr>
          <w:sz w:val="28"/>
        </w:rPr>
        <w:t xml:space="preserve">В-третьих, наблюдается слабая корреляция между фактической налоговой нагрузкой и фискальными точками Лаффера. Если среднее значение реальной налоговой нагрузки в анализируемый период составляло 21,20 %, то для точек Лаффера 1-го рода этот показатель равен 23,16 %, а для точек 2-го рода – 24,77 %. Таким образом, фискальный стимулирующий эффект не был использован в регионе в полной мере, скорее наоборот, недостаточное налоговое бремя </w:t>
      </w:r>
      <w:r>
        <w:rPr>
          <w:sz w:val="28"/>
        </w:rPr>
        <w:lastRenderedPageBreak/>
        <w:t>оказывало сдерживающий эффект на развитие экономики региона. Нестабильность фактического налогового бремени только способствовала усилению данной тенденции. Так, в 1995 и 2001 гг. фактическая налоговая нагрузка превысила не только порог эффективности воздействия на производителей, но достигла такого уровня, когда происходит снижение налоговых поступлений в бюджет.</w:t>
      </w:r>
    </w:p>
    <w:p w:rsidR="00D66641" w:rsidRDefault="00D66641" w:rsidP="0006600C">
      <w:pPr>
        <w:tabs>
          <w:tab w:val="left" w:pos="2120"/>
        </w:tabs>
        <w:ind w:left="-567" w:firstLine="454"/>
        <w:jc w:val="both"/>
        <w:rPr>
          <w:sz w:val="28"/>
        </w:rPr>
      </w:pPr>
      <w:r>
        <w:rPr>
          <w:sz w:val="28"/>
        </w:rPr>
        <w:t xml:space="preserve">Безусловно, одной из причин отсутствия целенаправленного налогового регулирования экономики региона является недостаточный объём полномочий органов государственной власти субъектов РФ. Однако внедрение мер региональной налоговой политики должно состоять не в простом изменении общего уровня налоговой нагрузки, а по возможности носить целевой характер. В этом смысле большое значение приобретает фискальный анализ экономики региона в отраслевом разрезе с учётом </w:t>
      </w:r>
      <w:r w:rsidR="0006600C">
        <w:rPr>
          <w:sz w:val="28"/>
        </w:rPr>
        <w:t>рыночной специализации</w:t>
      </w:r>
      <w:r>
        <w:rPr>
          <w:sz w:val="28"/>
        </w:rPr>
        <w:t>.</w:t>
      </w:r>
    </w:p>
    <w:p w:rsidR="00D66641" w:rsidRDefault="00D66641" w:rsidP="0006600C">
      <w:pPr>
        <w:tabs>
          <w:tab w:val="left" w:pos="2120"/>
        </w:tabs>
        <w:ind w:left="-567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анализа повторяет последовательность действий, произведённых при анализе экономики региона в целом. В качестве аналитической базы были использованы показатели, характеризующие экономическое развитие </w:t>
      </w:r>
      <w:r w:rsidR="00BD0CB9">
        <w:rPr>
          <w:sz w:val="28"/>
          <w:szCs w:val="28"/>
        </w:rPr>
        <w:t xml:space="preserve">Новосибирской области </w:t>
      </w:r>
      <w:r>
        <w:rPr>
          <w:sz w:val="28"/>
          <w:szCs w:val="28"/>
        </w:rPr>
        <w:t>по видам экономической деятельности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 xml:space="preserve">, взятые за 9 лет (2002 – 2010 гг.). Результаты анализа представлены в таблице </w:t>
      </w:r>
      <w:r w:rsidR="00BD0CB9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D66641" w:rsidRPr="00BD0CB9" w:rsidRDefault="00BD0CB9" w:rsidP="00BD0CB9">
      <w:pPr>
        <w:tabs>
          <w:tab w:val="left" w:pos="2120"/>
        </w:tabs>
        <w:spacing w:before="120"/>
        <w:ind w:left="-567" w:firstLine="454"/>
        <w:jc w:val="center"/>
        <w:rPr>
          <w:i/>
          <w:sz w:val="28"/>
          <w:szCs w:val="28"/>
        </w:rPr>
      </w:pPr>
      <w:r w:rsidRPr="00BD0CB9">
        <w:rPr>
          <w:i/>
          <w:sz w:val="28"/>
          <w:szCs w:val="28"/>
        </w:rPr>
        <w:t xml:space="preserve">Таблица 4. </w:t>
      </w:r>
      <w:r w:rsidR="00D66641" w:rsidRPr="00BD0CB9">
        <w:rPr>
          <w:i/>
          <w:sz w:val="28"/>
          <w:szCs w:val="28"/>
        </w:rPr>
        <w:t>Анализ налоговой нагрузки на экономику Новосибирской области по видам экономической деятельности</w:t>
      </w:r>
    </w:p>
    <w:tbl>
      <w:tblPr>
        <w:tblStyle w:val="af0"/>
        <w:tblW w:w="10065" w:type="dxa"/>
        <w:tblInd w:w="-459" w:type="dxa"/>
        <w:tblLook w:val="04A0"/>
      </w:tblPr>
      <w:tblGrid>
        <w:gridCol w:w="6379"/>
        <w:gridCol w:w="1843"/>
        <w:gridCol w:w="1843"/>
      </w:tblGrid>
      <w:tr w:rsidR="00D66641" w:rsidTr="00D66641"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Вид экономической деятельности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Соотношение фактической налоговой нагрузки и точек Лаффера</w:t>
            </w:r>
          </w:p>
        </w:tc>
      </w:tr>
      <w:tr w:rsidR="00D66641" w:rsidTr="00D6664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q – q*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q – q**</w:t>
            </w:r>
          </w:p>
        </w:tc>
      </w:tr>
      <w:tr w:rsidR="00D66641" w:rsidTr="00D66641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641" w:rsidRDefault="00D66641">
            <w:pPr>
              <w:tabs>
                <w:tab w:val="left" w:pos="2120"/>
              </w:tabs>
              <w:jc w:val="both"/>
              <w:rPr>
                <w:sz w:val="24"/>
                <w:szCs w:val="24"/>
              </w:rPr>
            </w:pPr>
            <w:r>
              <w:t>Сельское хозяйство, охота и лесное хозяйство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99" w:dyaOrig="120">
                <v:shape id="_x0000_i1067" type="#_x0000_t75" style="width:15.9pt;height:9.35pt" o:ole="">
                  <v:imagedata r:id="rId93" o:title=""/>
                </v:shape>
                <o:OLEObject Type="Embed" ProgID="Equation.3" ShapeID="_x0000_i1067" DrawAspect="Content" ObjectID="_1410106762" r:id="rId94"/>
              </w:objec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99" w:dyaOrig="120">
                <v:shape id="_x0000_i1068" type="#_x0000_t75" style="width:15.9pt;height:9.35pt" o:ole="">
                  <v:imagedata r:id="rId93" o:title=""/>
                </v:shape>
                <o:OLEObject Type="Embed" ProgID="Equation.3" ShapeID="_x0000_i1068" DrawAspect="Content" ObjectID="_1410106763" r:id="rId95"/>
              </w:object>
            </w:r>
          </w:p>
        </w:tc>
      </w:tr>
      <w:tr w:rsidR="00D66641" w:rsidTr="00D66641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rPr>
                <w:sz w:val="24"/>
                <w:szCs w:val="24"/>
              </w:rPr>
            </w:pPr>
            <w:r>
              <w:t>Транспорт и связь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99" w:dyaOrig="120">
                <v:shape id="_x0000_i1069" type="#_x0000_t75" style="width:15.9pt;height:9.35pt" o:ole="">
                  <v:imagedata r:id="rId93" o:title=""/>
                </v:shape>
                <o:OLEObject Type="Embed" ProgID="Equation.3" ShapeID="_x0000_i1069" DrawAspect="Content" ObjectID="_1410106764" r:id="rId96"/>
              </w:objec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99" w:dyaOrig="120">
                <v:shape id="_x0000_i1070" type="#_x0000_t75" style="width:15.9pt;height:9.35pt" o:ole="">
                  <v:imagedata r:id="rId93" o:title=""/>
                </v:shape>
                <o:OLEObject Type="Embed" ProgID="Equation.3" ShapeID="_x0000_i1070" DrawAspect="Content" ObjectID="_1410106765" r:id="rId97"/>
              </w:object>
            </w:r>
          </w:p>
        </w:tc>
      </w:tr>
      <w:tr w:rsidR="00D66641" w:rsidTr="00D66641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rPr>
                <w:sz w:val="24"/>
                <w:szCs w:val="24"/>
              </w:rPr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object w:dxaOrig="220" w:dyaOrig="220">
                <v:shape id="_x0000_i1071" type="#_x0000_t75" style="width:17.75pt;height:17.75pt" o:ole="">
                  <v:imagedata r:id="rId98" o:title=""/>
                </v:shape>
                <o:OLEObject Type="Embed" ProgID="Equation.3" ShapeID="_x0000_i1071" DrawAspect="Content" ObjectID="_1410106766" r:id="rId99"/>
              </w:objec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object w:dxaOrig="220" w:dyaOrig="220">
                <v:shape id="_x0000_i1072" type="#_x0000_t75" style="width:17.75pt;height:17.75pt" o:ole="">
                  <v:imagedata r:id="rId98" o:title=""/>
                </v:shape>
                <o:OLEObject Type="Embed" ProgID="Equation.3" ShapeID="_x0000_i1072" DrawAspect="Content" ObjectID="_1410106767" r:id="rId100"/>
              </w:object>
            </w:r>
          </w:p>
        </w:tc>
      </w:tr>
      <w:tr w:rsidR="00D66641" w:rsidTr="00D66641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rPr>
                <w:sz w:val="24"/>
                <w:szCs w:val="24"/>
              </w:rPr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99" w:dyaOrig="120">
                <v:shape id="_x0000_i1073" type="#_x0000_t75" style="width:15.9pt;height:9.35pt" o:ole="">
                  <v:imagedata r:id="rId101" o:title=""/>
                </v:shape>
                <o:OLEObject Type="Embed" ProgID="Equation.3" ShapeID="_x0000_i1073" DrawAspect="Content" ObjectID="_1410106768" r:id="rId102"/>
              </w:objec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99" w:dyaOrig="120">
                <v:shape id="_x0000_i1074" type="#_x0000_t75" style="width:15.9pt;height:9.35pt" o:ole="">
                  <v:imagedata r:id="rId93" o:title=""/>
                </v:shape>
                <o:OLEObject Type="Embed" ProgID="Equation.3" ShapeID="_x0000_i1074" DrawAspect="Content" ObjectID="_1410106769" r:id="rId103"/>
              </w:object>
            </w:r>
          </w:p>
        </w:tc>
      </w:tr>
      <w:tr w:rsidR="00D66641" w:rsidTr="00D66641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rPr>
                <w:sz w:val="24"/>
                <w:szCs w:val="24"/>
              </w:rPr>
            </w:pPr>
            <w:r>
              <w:t>Гостиницы и рестораны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99" w:dyaOrig="120">
                <v:shape id="_x0000_i1075" type="#_x0000_t75" style="width:15.9pt;height:9.35pt" o:ole="">
                  <v:imagedata r:id="rId93" o:title=""/>
                </v:shape>
                <o:OLEObject Type="Embed" ProgID="Equation.3" ShapeID="_x0000_i1075" DrawAspect="Content" ObjectID="_1410106770" r:id="rId104"/>
              </w:objec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99" w:dyaOrig="120">
                <v:shape id="_x0000_i1076" type="#_x0000_t75" style="width:15.9pt;height:9.35pt" o:ole="">
                  <v:imagedata r:id="rId93" o:title=""/>
                </v:shape>
                <o:OLEObject Type="Embed" ProgID="Equation.3" ShapeID="_x0000_i1076" DrawAspect="Content" ObjectID="_1410106771" r:id="rId105"/>
              </w:object>
            </w:r>
          </w:p>
        </w:tc>
      </w:tr>
      <w:tr w:rsidR="00D66641" w:rsidTr="00D66641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rPr>
                <w:sz w:val="24"/>
                <w:szCs w:val="24"/>
              </w:rPr>
            </w:pPr>
            <w:r>
              <w:t>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99" w:dyaOrig="120">
                <v:shape id="_x0000_i1077" type="#_x0000_t75" style="width:15.9pt;height:9.35pt" o:ole="">
                  <v:imagedata r:id="rId93" o:title=""/>
                </v:shape>
                <o:OLEObject Type="Embed" ProgID="Equation.3" ShapeID="_x0000_i1077" DrawAspect="Content" ObjectID="_1410106772" r:id="rId106"/>
              </w:objec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99" w:dyaOrig="120">
                <v:shape id="_x0000_i1078" type="#_x0000_t75" style="width:15.9pt;height:9.35pt" o:ole="">
                  <v:imagedata r:id="rId93" o:title=""/>
                </v:shape>
                <o:OLEObject Type="Embed" ProgID="Equation.3" ShapeID="_x0000_i1078" DrawAspect="Content" ObjectID="_1410106773" r:id="rId107"/>
              </w:object>
            </w:r>
          </w:p>
        </w:tc>
      </w:tr>
      <w:tr w:rsidR="00D66641" w:rsidTr="00D66641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rPr>
                <w:sz w:val="24"/>
                <w:szCs w:val="24"/>
              </w:rPr>
            </w:pPr>
            <w:r>
              <w:t>Оптовая и розничная торговля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99" w:dyaOrig="120">
                <v:shape id="_x0000_i1079" type="#_x0000_t75" style="width:15.9pt;height:9.35pt" o:ole="">
                  <v:imagedata r:id="rId93" o:title=""/>
                </v:shape>
                <o:OLEObject Type="Embed" ProgID="Equation.3" ShapeID="_x0000_i1079" DrawAspect="Content" ObjectID="_1410106774" r:id="rId108"/>
              </w:objec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99" w:dyaOrig="120">
                <v:shape id="_x0000_i1080" type="#_x0000_t75" style="width:15.9pt;height:9.35pt" o:ole="">
                  <v:imagedata r:id="rId93" o:title=""/>
                </v:shape>
                <o:OLEObject Type="Embed" ProgID="Equation.3" ShapeID="_x0000_i1080" DrawAspect="Content" ObjectID="_1410106775" r:id="rId109"/>
              </w:object>
            </w:r>
          </w:p>
        </w:tc>
      </w:tr>
      <w:tr w:rsidR="00D66641" w:rsidTr="00D66641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rPr>
                <w:sz w:val="24"/>
                <w:szCs w:val="24"/>
              </w:rPr>
            </w:pPr>
            <w:r>
              <w:t>Строительство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99" w:dyaOrig="120">
                <v:shape id="_x0000_i1081" type="#_x0000_t75" style="width:15.9pt;height:9.35pt" o:ole="">
                  <v:imagedata r:id="rId93" o:title=""/>
                </v:shape>
                <o:OLEObject Type="Embed" ProgID="Equation.3" ShapeID="_x0000_i1081" DrawAspect="Content" ObjectID="_1410106776" r:id="rId110"/>
              </w:objec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99" w:dyaOrig="120">
                <v:shape id="_x0000_i1082" type="#_x0000_t75" style="width:15.9pt;height:9.35pt" o:ole="">
                  <v:imagedata r:id="rId93" o:title=""/>
                </v:shape>
                <o:OLEObject Type="Embed" ProgID="Equation.3" ShapeID="_x0000_i1082" DrawAspect="Content" ObjectID="_1410106777" r:id="rId111"/>
              </w:object>
            </w:r>
          </w:p>
        </w:tc>
      </w:tr>
      <w:tr w:rsidR="00D66641" w:rsidTr="00D66641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rPr>
                <w:sz w:val="24"/>
                <w:szCs w:val="24"/>
              </w:rPr>
            </w:pPr>
            <w:r>
              <w:t>Предоставление прочих коммунальных, социальных и персональных услуг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object w:dxaOrig="220" w:dyaOrig="220">
                <v:shape id="_x0000_i1083" type="#_x0000_t75" style="width:17.75pt;height:17.75pt" o:ole="">
                  <v:imagedata r:id="rId98" o:title=""/>
                </v:shape>
                <o:OLEObject Type="Embed" ProgID="Equation.3" ShapeID="_x0000_i1083" DrawAspect="Content" ObjectID="_1410106778" r:id="rId112"/>
              </w:objec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99" w:dyaOrig="120">
                <v:shape id="_x0000_i1084" type="#_x0000_t75" style="width:15.9pt;height:9.35pt" o:ole="">
                  <v:imagedata r:id="rId93" o:title=""/>
                </v:shape>
                <o:OLEObject Type="Embed" ProgID="Equation.3" ShapeID="_x0000_i1084" DrawAspect="Content" ObjectID="_1410106779" r:id="rId113"/>
              </w:object>
            </w:r>
          </w:p>
        </w:tc>
      </w:tr>
      <w:tr w:rsidR="00D66641" w:rsidTr="00D66641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rPr>
                <w:sz w:val="24"/>
                <w:szCs w:val="24"/>
              </w:rPr>
            </w:pPr>
            <w:r>
              <w:t>Добыча полезных ископаемых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object w:dxaOrig="220" w:dyaOrig="220">
                <v:shape id="_x0000_i1085" type="#_x0000_t75" style="width:17.75pt;height:17.75pt" o:ole="">
                  <v:imagedata r:id="rId98" o:title=""/>
                </v:shape>
                <o:OLEObject Type="Embed" ProgID="Equation.3" ShapeID="_x0000_i1085" DrawAspect="Content" ObjectID="_1410106780" r:id="rId114"/>
              </w:objec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position w:val="-4"/>
                <w:sz w:val="24"/>
                <w:szCs w:val="24"/>
              </w:rPr>
              <w:object w:dxaOrig="220" w:dyaOrig="220">
                <v:shape id="_x0000_i1086" type="#_x0000_t75" style="width:17.75pt;height:17.75pt" o:ole="">
                  <v:imagedata r:id="rId98" o:title=""/>
                </v:shape>
                <o:OLEObject Type="Embed" ProgID="Equation.3" ShapeID="_x0000_i1086" DrawAspect="Content" ObjectID="_1410106781" r:id="rId115"/>
              </w:object>
            </w:r>
          </w:p>
        </w:tc>
      </w:tr>
      <w:tr w:rsidR="00D66641" w:rsidTr="00D66641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66641" w:rsidRDefault="00D66641">
            <w:pPr>
              <w:rPr>
                <w:sz w:val="24"/>
                <w:szCs w:val="24"/>
              </w:rPr>
            </w:pPr>
            <w:r>
              <w:t>Финансовая деятельность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99" w:dyaOrig="120">
                <v:shape id="_x0000_i1087" type="#_x0000_t75" style="width:15.9pt;height:9.35pt" o:ole="">
                  <v:imagedata r:id="rId93" o:title=""/>
                </v:shape>
                <o:OLEObject Type="Embed" ProgID="Equation.3" ShapeID="_x0000_i1087" DrawAspect="Content" ObjectID="_1410106782" r:id="rId116"/>
              </w:objec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641" w:rsidRDefault="00D66641">
            <w:pPr>
              <w:tabs>
                <w:tab w:val="left" w:pos="2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99" w:dyaOrig="120">
                <v:shape id="_x0000_i1088" type="#_x0000_t75" style="width:15.9pt;height:9.35pt" o:ole="">
                  <v:imagedata r:id="rId93" o:title=""/>
                </v:shape>
                <o:OLEObject Type="Embed" ProgID="Equation.3" ShapeID="_x0000_i1088" DrawAspect="Content" ObjectID="_1410106783" r:id="rId117"/>
              </w:object>
            </w:r>
          </w:p>
        </w:tc>
      </w:tr>
    </w:tbl>
    <w:p w:rsidR="00D66641" w:rsidRDefault="00D66641" w:rsidP="00BD0CB9">
      <w:pPr>
        <w:tabs>
          <w:tab w:val="left" w:pos="2120"/>
        </w:tabs>
        <w:ind w:left="-567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Существующий уровень налоговой нагрузки замедляет экономическое развитие предприятий в сфере коммунальных, социальных и персональных услуг, операций, связанных с недвижимым имуществом и арендой, а также в сфере добычи полезных ископаемых. Причём в отношении последних двух видов деятельности уровень налоговой нагрузки избыточен даже с точки зрения фискальных интересов государства. Учитывая рыночную специализацию экономики Новосибирской области, первоочередной мерой должно являться </w:t>
      </w:r>
      <w:r>
        <w:rPr>
          <w:sz w:val="28"/>
          <w:szCs w:val="28"/>
        </w:rPr>
        <w:lastRenderedPageBreak/>
        <w:t>снижение налоговой нагрузки на операции с недвижимым имуществом, аренду и предоставление услуг. В отношении остальных отраслей имеется резерв увеличения налоговой нагрузки, безопасный для экономического развития предприятий соответствующих отраслей.</w:t>
      </w:r>
    </w:p>
    <w:p w:rsidR="00D66641" w:rsidRDefault="00D66641" w:rsidP="00BD0CB9">
      <w:pPr>
        <w:tabs>
          <w:tab w:val="left" w:pos="2120"/>
        </w:tabs>
        <w:ind w:left="-567" w:firstLine="454"/>
        <w:jc w:val="both"/>
        <w:rPr>
          <w:sz w:val="28"/>
          <w:szCs w:val="28"/>
        </w:rPr>
      </w:pPr>
      <w:r>
        <w:rPr>
          <w:sz w:val="28"/>
          <w:szCs w:val="28"/>
        </w:rPr>
        <w:t>Из анализа были исключены услуги по государственному управлению, а также социально значимые отрасли. В отношении данных видов деятельности при проведении налоговой политики необходимо руководствоваться принципом Парето-оптимизации, т.е. изменение уровня налоговой нагрузки как минимум не должно ухудшать уровень социальной защищённости населения региона. Фискальные интересы при налогообложении данных видов деятельности противоречат целям существования государственности.</w:t>
      </w:r>
    </w:p>
    <w:p w:rsidR="0042008A" w:rsidRDefault="00D66641" w:rsidP="00BD0CB9">
      <w:pPr>
        <w:ind w:left="-567" w:firstLine="454"/>
        <w:jc w:val="both"/>
        <w:rPr>
          <w:sz w:val="28"/>
          <w:szCs w:val="28"/>
        </w:rPr>
      </w:pPr>
      <w:r>
        <w:rPr>
          <w:sz w:val="28"/>
          <w:szCs w:val="28"/>
        </w:rPr>
        <w:t>Однако данные, полученные по отраслям, не могут гарантировать решения, оптимального для экономики региона в целом.</w:t>
      </w:r>
      <w:r w:rsidR="00E822E7">
        <w:rPr>
          <w:sz w:val="28"/>
          <w:szCs w:val="28"/>
        </w:rPr>
        <w:t xml:space="preserve"> Для этого были просуммированы значения по объёмам производства и налоговыми отчислениями при различных налоговых ставках</w:t>
      </w:r>
      <w:r w:rsidR="00BD0CB9">
        <w:rPr>
          <w:sz w:val="28"/>
          <w:szCs w:val="28"/>
        </w:rPr>
        <w:t xml:space="preserve"> по всем видам экономической деятельности</w:t>
      </w:r>
      <w:r w:rsidR="00E822E7">
        <w:rPr>
          <w:sz w:val="28"/>
          <w:szCs w:val="28"/>
        </w:rPr>
        <w:t xml:space="preserve">. Таким образом, был получен оптимальный вариант распределения налоговой нагрузки по отраслям Новосибирской области по состоянию на 2010 г. Налоговая нагрузка, соответствующая точке оптимума (точка А на рис. </w:t>
      </w:r>
      <w:r w:rsidR="00BD0CB9">
        <w:rPr>
          <w:sz w:val="28"/>
          <w:szCs w:val="28"/>
        </w:rPr>
        <w:t>6</w:t>
      </w:r>
      <w:r w:rsidR="00E822E7">
        <w:rPr>
          <w:sz w:val="28"/>
          <w:szCs w:val="28"/>
        </w:rPr>
        <w:t>)</w:t>
      </w:r>
      <w:r w:rsidR="00BD0CB9">
        <w:rPr>
          <w:sz w:val="28"/>
          <w:szCs w:val="28"/>
        </w:rPr>
        <w:t>,</w:t>
      </w:r>
      <w:r w:rsidR="00E822E7">
        <w:rPr>
          <w:sz w:val="28"/>
          <w:szCs w:val="28"/>
        </w:rPr>
        <w:t xml:space="preserve"> позволяет увеличить как налоговые поступления, так и величину добавленной стоимости в целом по экономике. При уровне налоговой нагрузки на экономику 2</w:t>
      </w:r>
      <w:r w:rsidR="00F720C0">
        <w:rPr>
          <w:sz w:val="28"/>
          <w:szCs w:val="28"/>
        </w:rPr>
        <w:t>2</w:t>
      </w:r>
      <w:r w:rsidR="00E822E7">
        <w:rPr>
          <w:sz w:val="28"/>
          <w:szCs w:val="28"/>
        </w:rPr>
        <w:t xml:space="preserve">, </w:t>
      </w:r>
      <w:r w:rsidR="00F720C0">
        <w:rPr>
          <w:sz w:val="28"/>
          <w:szCs w:val="28"/>
        </w:rPr>
        <w:t>22</w:t>
      </w:r>
      <w:r w:rsidR="00E822E7">
        <w:rPr>
          <w:sz w:val="28"/>
          <w:szCs w:val="28"/>
        </w:rPr>
        <w:t xml:space="preserve"> % (на</w:t>
      </w:r>
      <w:r w:rsidR="000E5077">
        <w:rPr>
          <w:sz w:val="28"/>
          <w:szCs w:val="28"/>
        </w:rPr>
        <w:t xml:space="preserve"> </w:t>
      </w:r>
      <w:r w:rsidR="00F720C0">
        <w:rPr>
          <w:sz w:val="28"/>
          <w:szCs w:val="28"/>
        </w:rPr>
        <w:t>2</w:t>
      </w:r>
      <w:r w:rsidR="000E5077">
        <w:rPr>
          <w:sz w:val="28"/>
          <w:szCs w:val="28"/>
        </w:rPr>
        <w:t>,</w:t>
      </w:r>
      <w:r w:rsidR="00F720C0">
        <w:rPr>
          <w:sz w:val="28"/>
          <w:szCs w:val="28"/>
        </w:rPr>
        <w:t>22</w:t>
      </w:r>
      <w:r w:rsidR="000E5077">
        <w:rPr>
          <w:sz w:val="28"/>
          <w:szCs w:val="28"/>
        </w:rPr>
        <w:t xml:space="preserve"> процентных пунктов выше фактически существовавшего</w:t>
      </w:r>
      <w:r w:rsidR="00E822E7">
        <w:rPr>
          <w:sz w:val="28"/>
          <w:szCs w:val="28"/>
        </w:rPr>
        <w:t xml:space="preserve">) мог быть достигнут </w:t>
      </w:r>
      <w:r w:rsidR="000E5077">
        <w:rPr>
          <w:sz w:val="28"/>
          <w:szCs w:val="28"/>
        </w:rPr>
        <w:t>объём налоговых поступлений в размере 114726, 4 млрд. руб.  (</w:t>
      </w:r>
      <w:r w:rsidR="00BD0CB9">
        <w:rPr>
          <w:sz w:val="28"/>
          <w:szCs w:val="28"/>
        </w:rPr>
        <w:t xml:space="preserve">рост </w:t>
      </w:r>
      <w:r w:rsidR="000E5077">
        <w:rPr>
          <w:sz w:val="28"/>
          <w:szCs w:val="28"/>
        </w:rPr>
        <w:t>на 18326,9 млн. руб.</w:t>
      </w:r>
      <w:r w:rsidR="00AD746F">
        <w:rPr>
          <w:sz w:val="28"/>
          <w:szCs w:val="28"/>
        </w:rPr>
        <w:t>; 19,01 %</w:t>
      </w:r>
      <w:r w:rsidR="000E5077">
        <w:rPr>
          <w:sz w:val="28"/>
          <w:szCs w:val="28"/>
        </w:rPr>
        <w:t xml:space="preserve">) при объёме валового производства </w:t>
      </w:r>
      <w:r w:rsidR="008F1CA6">
        <w:rPr>
          <w:sz w:val="28"/>
          <w:szCs w:val="28"/>
        </w:rPr>
        <w:t>516389</w:t>
      </w:r>
      <w:r w:rsidR="000E5077">
        <w:rPr>
          <w:sz w:val="28"/>
          <w:szCs w:val="28"/>
        </w:rPr>
        <w:t>,1 млн. руб. (</w:t>
      </w:r>
      <w:r w:rsidR="00BD0CB9">
        <w:rPr>
          <w:sz w:val="28"/>
          <w:szCs w:val="28"/>
        </w:rPr>
        <w:t xml:space="preserve">рост на </w:t>
      </w:r>
      <w:r w:rsidR="008F1CA6">
        <w:rPr>
          <w:sz w:val="28"/>
          <w:szCs w:val="28"/>
        </w:rPr>
        <w:t>34362</w:t>
      </w:r>
      <w:r w:rsidR="000E5077">
        <w:rPr>
          <w:sz w:val="28"/>
          <w:szCs w:val="28"/>
        </w:rPr>
        <w:t>,</w:t>
      </w:r>
      <w:r w:rsidR="008F1CA6">
        <w:rPr>
          <w:sz w:val="28"/>
          <w:szCs w:val="28"/>
        </w:rPr>
        <w:t>6</w:t>
      </w:r>
      <w:r w:rsidR="000E5077">
        <w:rPr>
          <w:sz w:val="28"/>
          <w:szCs w:val="28"/>
        </w:rPr>
        <w:t xml:space="preserve"> млн</w:t>
      </w:r>
      <w:r w:rsidR="008F1CA6">
        <w:rPr>
          <w:sz w:val="28"/>
          <w:szCs w:val="28"/>
        </w:rPr>
        <w:t>.</w:t>
      </w:r>
      <w:r w:rsidR="000E5077">
        <w:rPr>
          <w:sz w:val="28"/>
          <w:szCs w:val="28"/>
        </w:rPr>
        <w:t xml:space="preserve"> руб.</w:t>
      </w:r>
      <w:r w:rsidR="00F720C0">
        <w:rPr>
          <w:sz w:val="28"/>
          <w:szCs w:val="28"/>
        </w:rPr>
        <w:t>; 7,13 %</w:t>
      </w:r>
      <w:r w:rsidR="000E5077">
        <w:rPr>
          <w:sz w:val="28"/>
          <w:szCs w:val="28"/>
        </w:rPr>
        <w:t>).</w:t>
      </w:r>
    </w:p>
    <w:p w:rsidR="000A1200" w:rsidRDefault="000A1200" w:rsidP="00BD0CB9">
      <w:pPr>
        <w:ind w:left="-567" w:firstLine="454"/>
        <w:jc w:val="both"/>
        <w:rPr>
          <w:sz w:val="28"/>
          <w:szCs w:val="28"/>
        </w:rPr>
      </w:pPr>
    </w:p>
    <w:p w:rsidR="000A1200" w:rsidRDefault="00CD47E9" w:rsidP="00BD0CB9">
      <w:pPr>
        <w:ind w:left="-567" w:firstLine="454"/>
        <w:jc w:val="both"/>
        <w:rPr>
          <w:sz w:val="28"/>
          <w:szCs w:val="28"/>
        </w:rPr>
      </w:pPr>
      <w:r w:rsidRPr="00CD47E9">
        <w:rPr>
          <w:noProof/>
          <w:sz w:val="28"/>
          <w:szCs w:val="28"/>
          <w:lang w:eastAsia="en-US"/>
        </w:rPr>
        <w:pict>
          <v:shape id="_x0000_s1056" type="#_x0000_t202" style="position:absolute;left:0;text-align:left;margin-left:291.4pt;margin-top:61.85pt;width:16.1pt;height:15.75pt;z-index:251692032;mso-width-relative:margin;mso-height-relative:margin" strokecolor="white [3212]">
            <v:textbox>
              <w:txbxContent>
                <w:p w:rsidR="00CD47E9" w:rsidRPr="00CD47E9" w:rsidRDefault="00CD47E9">
                  <w:pPr>
                    <w:rPr>
                      <w:sz w:val="20"/>
                      <w:szCs w:val="20"/>
                    </w:rPr>
                  </w:pPr>
                  <w:r w:rsidRPr="00CD47E9">
                    <w:rPr>
                      <w:sz w:val="20"/>
                      <w:szCs w:val="20"/>
                    </w:rPr>
                    <w:t>А</w:t>
                  </w:r>
                </w:p>
              </w:txbxContent>
            </v:textbox>
          </v:shape>
        </w:pict>
      </w:r>
      <w:r w:rsidR="000A1200">
        <w:rPr>
          <w:noProof/>
        </w:rPr>
        <w:drawing>
          <wp:inline distT="0" distB="0" distL="0" distR="0">
            <wp:extent cx="5171429" cy="3238095"/>
            <wp:effectExtent l="19050" t="0" r="0" b="0"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3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200" w:rsidRDefault="000A1200" w:rsidP="00BD0CB9">
      <w:pPr>
        <w:ind w:left="-567" w:firstLine="454"/>
        <w:jc w:val="both"/>
        <w:rPr>
          <w:sz w:val="28"/>
          <w:szCs w:val="28"/>
        </w:rPr>
      </w:pPr>
    </w:p>
    <w:p w:rsidR="000A1200" w:rsidRDefault="00CD47E9" w:rsidP="00BD0CB9">
      <w:pPr>
        <w:ind w:left="-567" w:firstLine="454"/>
        <w:jc w:val="both"/>
        <w:rPr>
          <w:sz w:val="28"/>
          <w:szCs w:val="28"/>
        </w:rPr>
      </w:pPr>
      <w:r>
        <w:rPr>
          <w:sz w:val="28"/>
          <w:szCs w:val="28"/>
        </w:rPr>
        <w:t>Рисунок 6. Оптимальные варианты налоговой нагрузки (оптимум по Парето)</w:t>
      </w:r>
    </w:p>
    <w:p w:rsidR="00A07381" w:rsidRDefault="000A1200" w:rsidP="006C7247">
      <w:pPr>
        <w:rPr>
          <w:sz w:val="28"/>
          <w:szCs w:val="28"/>
        </w:rPr>
      </w:pPr>
      <w:r w:rsidRPr="000A1200">
        <w:rPr>
          <w:noProof/>
          <w:sz w:val="28"/>
          <w:szCs w:val="28"/>
          <w:lang w:eastAsia="en-US"/>
        </w:rPr>
        <w:pict>
          <v:shape id="_x0000_s1055" type="#_x0000_t202" style="position:absolute;margin-left:117.9pt;margin-top:245.15pt;width:205.2pt;height:21.75pt;z-index:251689984;mso-height-percent:200;mso-height-percent:200;mso-width-relative:margin;mso-height-relative:margin" strokecolor="white [3212]">
            <v:textbox style="mso-fit-shape-to-text:t">
              <w:txbxContent>
                <w:p w:rsidR="000A1200" w:rsidRDefault="000A1200" w:rsidP="000A1200">
                  <w:pPr>
                    <w:jc w:val="center"/>
                  </w:pPr>
                  <w:r>
                    <w:t>Налоговые поступления, млн. руб.</w:t>
                  </w:r>
                </w:p>
              </w:txbxContent>
            </v:textbox>
          </v:shape>
        </w:pict>
      </w:r>
    </w:p>
    <w:p w:rsidR="00BD0CB9" w:rsidRDefault="00BD0CB9" w:rsidP="006C7247">
      <w:pPr>
        <w:rPr>
          <w:sz w:val="28"/>
          <w:szCs w:val="28"/>
        </w:rPr>
      </w:pPr>
    </w:p>
    <w:p w:rsidR="001B7B85" w:rsidRDefault="001B7B85" w:rsidP="00BD0CB9">
      <w:pPr>
        <w:ind w:left="-567" w:firstLine="454"/>
        <w:rPr>
          <w:sz w:val="28"/>
          <w:szCs w:val="28"/>
        </w:rPr>
      </w:pPr>
      <w:r>
        <w:rPr>
          <w:sz w:val="28"/>
          <w:szCs w:val="28"/>
        </w:rPr>
        <w:lastRenderedPageBreak/>
        <w:t>Оптимальному варианту соответствует следующее распределение налоговой нагрузки по видам экономической деятельности экономики Новосибирской области (табл</w:t>
      </w:r>
      <w:r w:rsidR="00BD0CB9">
        <w:rPr>
          <w:sz w:val="28"/>
          <w:szCs w:val="28"/>
        </w:rPr>
        <w:t>. 5</w:t>
      </w:r>
      <w:r>
        <w:rPr>
          <w:sz w:val="28"/>
          <w:szCs w:val="28"/>
        </w:rPr>
        <w:t>)</w:t>
      </w:r>
      <w:r w:rsidR="00BD0CB9">
        <w:rPr>
          <w:sz w:val="28"/>
          <w:szCs w:val="28"/>
        </w:rPr>
        <w:t>.</w:t>
      </w:r>
    </w:p>
    <w:p w:rsidR="00BD0CB9" w:rsidRPr="00BD0CB9" w:rsidRDefault="00BD0CB9" w:rsidP="00BD0CB9">
      <w:pPr>
        <w:spacing w:before="120"/>
        <w:ind w:left="-567" w:firstLine="454"/>
        <w:jc w:val="center"/>
        <w:rPr>
          <w:i/>
          <w:sz w:val="28"/>
          <w:szCs w:val="28"/>
        </w:rPr>
      </w:pPr>
      <w:r w:rsidRPr="00BD0CB9">
        <w:rPr>
          <w:i/>
          <w:sz w:val="28"/>
          <w:szCs w:val="28"/>
        </w:rPr>
        <w:t>Таблица 5. Соотношение фактических уровней налоговой нагрузки с оптимальными по Парето по видам экономической деятельности Новосибирской области, 2010 г., %</w:t>
      </w:r>
    </w:p>
    <w:tbl>
      <w:tblPr>
        <w:tblStyle w:val="af0"/>
        <w:tblW w:w="8380" w:type="dxa"/>
        <w:jc w:val="center"/>
        <w:tblInd w:w="-459" w:type="dxa"/>
        <w:tblLook w:val="04A0"/>
      </w:tblPr>
      <w:tblGrid>
        <w:gridCol w:w="4961"/>
        <w:gridCol w:w="1118"/>
        <w:gridCol w:w="1159"/>
        <w:gridCol w:w="1142"/>
      </w:tblGrid>
      <w:tr w:rsidR="00043146" w:rsidTr="00BD0CB9">
        <w:trPr>
          <w:trHeight w:val="562"/>
          <w:jc w:val="center"/>
        </w:trPr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146" w:rsidRDefault="00043146" w:rsidP="005C3012">
            <w:pPr>
              <w:tabs>
                <w:tab w:val="left" w:pos="2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Вид экономической деятельности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3146" w:rsidRDefault="00BD0CB9" w:rsidP="005C3012">
            <w:pPr>
              <w:tabs>
                <w:tab w:val="left" w:pos="2120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3146" w:rsidRDefault="00BD0CB9" w:rsidP="005C3012">
            <w:pPr>
              <w:tabs>
                <w:tab w:val="left" w:pos="2120"/>
              </w:tabs>
              <w:jc w:val="center"/>
              <w:rPr>
                <w:b/>
              </w:rPr>
            </w:pPr>
            <w:r>
              <w:rPr>
                <w:b/>
              </w:rPr>
              <w:t>Оптимум по Парето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3146" w:rsidRDefault="00BD0CB9" w:rsidP="005C3012">
            <w:pPr>
              <w:tabs>
                <w:tab w:val="left" w:pos="2120"/>
              </w:tabs>
              <w:jc w:val="center"/>
              <w:rPr>
                <w:b/>
              </w:rPr>
            </w:pPr>
            <w:r>
              <w:rPr>
                <w:b/>
              </w:rPr>
              <w:t>Соотно-шение</w:t>
            </w:r>
          </w:p>
        </w:tc>
      </w:tr>
      <w:tr w:rsidR="00F720C0" w:rsidTr="00BD0CB9">
        <w:trPr>
          <w:jc w:val="center"/>
        </w:trPr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0C0" w:rsidRDefault="00F720C0" w:rsidP="005C3012">
            <w:pPr>
              <w:tabs>
                <w:tab w:val="left" w:pos="2120"/>
              </w:tabs>
              <w:jc w:val="both"/>
              <w:rPr>
                <w:sz w:val="24"/>
                <w:szCs w:val="24"/>
              </w:rPr>
            </w:pPr>
            <w:r>
              <w:t>Сельское хозяйство, охота и лесное хозяйство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0" w:rsidRDefault="00F720C0" w:rsidP="005C3012">
            <w:pPr>
              <w:tabs>
                <w:tab w:val="left" w:pos="2120"/>
              </w:tabs>
              <w:jc w:val="both"/>
            </w:pPr>
            <w:r>
              <w:t>3,84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0" w:rsidRDefault="00F720C0" w:rsidP="005C3012">
            <w:pPr>
              <w:tabs>
                <w:tab w:val="left" w:pos="2120"/>
              </w:tabs>
              <w:jc w:val="both"/>
            </w:pPr>
            <w:r>
              <w:t>4,80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720C0" w:rsidRPr="00BD0CB9" w:rsidRDefault="00F720C0" w:rsidP="00BD0CB9">
            <w:pPr>
              <w:rPr>
                <w:color w:val="000000"/>
              </w:rPr>
            </w:pPr>
            <w:r w:rsidRPr="00BD0CB9">
              <w:rPr>
                <w:color w:val="000000"/>
              </w:rPr>
              <w:t>0,96</w:t>
            </w:r>
          </w:p>
        </w:tc>
      </w:tr>
      <w:tr w:rsidR="00F720C0" w:rsidTr="00BD0CB9">
        <w:trPr>
          <w:jc w:val="center"/>
        </w:trPr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20C0" w:rsidRDefault="00F720C0" w:rsidP="005C3012">
            <w:pPr>
              <w:rPr>
                <w:sz w:val="24"/>
                <w:szCs w:val="24"/>
              </w:rPr>
            </w:pPr>
            <w:r>
              <w:t>Транспорт и связь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0" w:rsidRDefault="00F720C0" w:rsidP="005C3012">
            <w:r>
              <w:t>19,02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0" w:rsidRDefault="00F720C0" w:rsidP="005C3012">
            <w:r>
              <w:t>22,71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720C0" w:rsidRPr="00BD0CB9" w:rsidRDefault="00F720C0" w:rsidP="00BD0CB9">
            <w:pPr>
              <w:rPr>
                <w:color w:val="000000"/>
              </w:rPr>
            </w:pPr>
            <w:r w:rsidRPr="00BD0CB9">
              <w:rPr>
                <w:color w:val="000000"/>
              </w:rPr>
              <w:t>3,69</w:t>
            </w:r>
          </w:p>
        </w:tc>
      </w:tr>
      <w:tr w:rsidR="00F720C0" w:rsidTr="00BD0CB9">
        <w:trPr>
          <w:jc w:val="center"/>
        </w:trPr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20C0" w:rsidRDefault="00F720C0" w:rsidP="005C3012">
            <w:pPr>
              <w:rPr>
                <w:sz w:val="24"/>
                <w:szCs w:val="24"/>
              </w:rPr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0" w:rsidRDefault="00F720C0" w:rsidP="005C3012">
            <w:r>
              <w:t>17,20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0" w:rsidRDefault="00F720C0" w:rsidP="005C3012">
            <w:r>
              <w:t>15,64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720C0" w:rsidRPr="00BD0CB9" w:rsidRDefault="00F720C0" w:rsidP="00BD0CB9">
            <w:pPr>
              <w:rPr>
                <w:color w:val="000000"/>
              </w:rPr>
            </w:pPr>
            <w:r w:rsidRPr="00BD0CB9">
              <w:rPr>
                <w:color w:val="000000"/>
              </w:rPr>
              <w:t>-1,56</w:t>
            </w:r>
          </w:p>
        </w:tc>
      </w:tr>
      <w:tr w:rsidR="00F720C0" w:rsidTr="00BD0CB9">
        <w:trPr>
          <w:jc w:val="center"/>
        </w:trPr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20C0" w:rsidRDefault="00F720C0" w:rsidP="005C3012">
            <w:pPr>
              <w:rPr>
                <w:sz w:val="24"/>
                <w:szCs w:val="24"/>
              </w:rPr>
            </w:pPr>
            <w:r>
              <w:t>Производство и распределение электроэнергии, газа и воды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0" w:rsidRDefault="00F720C0" w:rsidP="005C3012">
            <w:r>
              <w:t>21,58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0" w:rsidRDefault="00F720C0" w:rsidP="005C3012">
            <w:r>
              <w:t>23,31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720C0" w:rsidRPr="00BD0CB9" w:rsidRDefault="00F720C0" w:rsidP="00BD0CB9">
            <w:pPr>
              <w:rPr>
                <w:color w:val="000000"/>
              </w:rPr>
            </w:pPr>
            <w:r w:rsidRPr="00BD0CB9">
              <w:rPr>
                <w:color w:val="000000"/>
              </w:rPr>
              <w:t>1,73</w:t>
            </w:r>
          </w:p>
        </w:tc>
      </w:tr>
      <w:tr w:rsidR="00F720C0" w:rsidTr="00BD0CB9">
        <w:trPr>
          <w:jc w:val="center"/>
        </w:trPr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20C0" w:rsidRDefault="00F720C0" w:rsidP="005C3012">
            <w:pPr>
              <w:rPr>
                <w:sz w:val="24"/>
                <w:szCs w:val="24"/>
              </w:rPr>
            </w:pPr>
            <w:r>
              <w:t>Гостиницы и рестораны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0" w:rsidRDefault="00F720C0" w:rsidP="005C3012">
            <w:r>
              <w:t>15,26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0" w:rsidRDefault="00F720C0" w:rsidP="005C3012">
            <w:r>
              <w:t>18,22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720C0" w:rsidRPr="00BD0CB9" w:rsidRDefault="00F720C0" w:rsidP="00BD0CB9">
            <w:pPr>
              <w:rPr>
                <w:color w:val="000000"/>
              </w:rPr>
            </w:pPr>
            <w:r w:rsidRPr="00BD0CB9">
              <w:rPr>
                <w:color w:val="000000"/>
              </w:rPr>
              <w:t>2,96</w:t>
            </w:r>
          </w:p>
        </w:tc>
      </w:tr>
      <w:tr w:rsidR="00F720C0" w:rsidTr="00BD0CB9">
        <w:trPr>
          <w:jc w:val="center"/>
        </w:trPr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20C0" w:rsidRDefault="00F720C0" w:rsidP="005C3012">
            <w:pPr>
              <w:rPr>
                <w:sz w:val="24"/>
                <w:szCs w:val="24"/>
              </w:rPr>
            </w:pPr>
            <w:r>
              <w:t>Обрабатывающие производства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0" w:rsidRDefault="00F720C0" w:rsidP="005C3012">
            <w:r>
              <w:t>23,81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0" w:rsidRDefault="00F720C0" w:rsidP="005C3012">
            <w:r>
              <w:t>25,72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720C0" w:rsidRPr="00BD0CB9" w:rsidRDefault="00F720C0" w:rsidP="00BD0CB9">
            <w:pPr>
              <w:rPr>
                <w:color w:val="000000"/>
              </w:rPr>
            </w:pPr>
            <w:r w:rsidRPr="00BD0CB9">
              <w:rPr>
                <w:color w:val="000000"/>
              </w:rPr>
              <w:t>1,91</w:t>
            </w:r>
          </w:p>
        </w:tc>
      </w:tr>
      <w:tr w:rsidR="00F720C0" w:rsidTr="00BD0CB9">
        <w:trPr>
          <w:jc w:val="center"/>
        </w:trPr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20C0" w:rsidRDefault="00F720C0" w:rsidP="005C3012">
            <w:pPr>
              <w:rPr>
                <w:sz w:val="24"/>
                <w:szCs w:val="24"/>
              </w:rPr>
            </w:pPr>
            <w:r>
              <w:t>Оптовая и розничная торговля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0" w:rsidRDefault="00F720C0" w:rsidP="005C3012">
            <w:r>
              <w:t>17,27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0" w:rsidRDefault="00F720C0" w:rsidP="005C3012">
            <w:r>
              <w:t>20,62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720C0" w:rsidRPr="00BD0CB9" w:rsidRDefault="00F720C0" w:rsidP="00BD0CB9">
            <w:pPr>
              <w:rPr>
                <w:color w:val="000000"/>
              </w:rPr>
            </w:pPr>
            <w:r w:rsidRPr="00BD0CB9">
              <w:rPr>
                <w:color w:val="000000"/>
              </w:rPr>
              <w:t>3,35</w:t>
            </w:r>
          </w:p>
        </w:tc>
      </w:tr>
      <w:tr w:rsidR="00F720C0" w:rsidTr="00BD0CB9">
        <w:trPr>
          <w:jc w:val="center"/>
        </w:trPr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20C0" w:rsidRDefault="00F720C0" w:rsidP="005C3012">
            <w:pPr>
              <w:rPr>
                <w:sz w:val="24"/>
                <w:szCs w:val="24"/>
              </w:rPr>
            </w:pPr>
            <w:r>
              <w:t>Строительство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0" w:rsidRDefault="00F720C0" w:rsidP="005C3012">
            <w:r>
              <w:t>24,79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0" w:rsidRDefault="00F720C0" w:rsidP="005C3012">
            <w:r>
              <w:t>25,93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720C0" w:rsidRPr="00BD0CB9" w:rsidRDefault="00F720C0" w:rsidP="00BD0CB9">
            <w:pPr>
              <w:rPr>
                <w:color w:val="000000"/>
              </w:rPr>
            </w:pPr>
            <w:r w:rsidRPr="00BD0CB9">
              <w:rPr>
                <w:color w:val="000000"/>
              </w:rPr>
              <w:t>1,14</w:t>
            </w:r>
          </w:p>
        </w:tc>
      </w:tr>
      <w:tr w:rsidR="00F720C0" w:rsidTr="00BD0CB9">
        <w:trPr>
          <w:jc w:val="center"/>
        </w:trPr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20C0" w:rsidRDefault="00F720C0" w:rsidP="005C3012">
            <w:pPr>
              <w:rPr>
                <w:sz w:val="24"/>
                <w:szCs w:val="24"/>
              </w:rPr>
            </w:pPr>
            <w:r>
              <w:t>Предоставление прочих коммунальных, социальных и персональных услуг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0" w:rsidRDefault="00F720C0" w:rsidP="005C3012">
            <w:r>
              <w:t>22,21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0" w:rsidRDefault="00F720C0" w:rsidP="005C3012">
            <w:r>
              <w:t>22,73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720C0" w:rsidRPr="00BD0CB9" w:rsidRDefault="00F720C0" w:rsidP="00BD0CB9">
            <w:pPr>
              <w:rPr>
                <w:color w:val="000000"/>
              </w:rPr>
            </w:pPr>
            <w:r w:rsidRPr="00BD0CB9">
              <w:rPr>
                <w:color w:val="000000"/>
              </w:rPr>
              <w:t>0,52</w:t>
            </w:r>
          </w:p>
        </w:tc>
      </w:tr>
      <w:tr w:rsidR="00F720C0" w:rsidTr="00BD0CB9">
        <w:trPr>
          <w:jc w:val="center"/>
        </w:trPr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20C0" w:rsidRDefault="00F720C0" w:rsidP="005C3012">
            <w:pPr>
              <w:rPr>
                <w:sz w:val="24"/>
                <w:szCs w:val="24"/>
              </w:rPr>
            </w:pPr>
            <w:r>
              <w:t>Добыча полезных ископаемых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0" w:rsidRDefault="00F720C0" w:rsidP="005C3012">
            <w:r>
              <w:t>47,00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0" w:rsidRDefault="00F720C0" w:rsidP="005C3012">
            <w:r>
              <w:t>42,75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720C0" w:rsidRPr="00BD0CB9" w:rsidRDefault="00F720C0" w:rsidP="00BD0CB9">
            <w:pPr>
              <w:rPr>
                <w:color w:val="000000"/>
              </w:rPr>
            </w:pPr>
            <w:r w:rsidRPr="00BD0CB9">
              <w:rPr>
                <w:color w:val="000000"/>
              </w:rPr>
              <w:t>-4,25</w:t>
            </w:r>
          </w:p>
        </w:tc>
      </w:tr>
      <w:tr w:rsidR="00F720C0" w:rsidTr="00BD0CB9">
        <w:trPr>
          <w:jc w:val="center"/>
        </w:trPr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20C0" w:rsidRDefault="00F720C0" w:rsidP="005C3012">
            <w:pPr>
              <w:rPr>
                <w:sz w:val="24"/>
                <w:szCs w:val="24"/>
              </w:rPr>
            </w:pPr>
            <w:r>
              <w:t>Финансовая деятельность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0" w:rsidRDefault="00F720C0" w:rsidP="005C3012">
            <w:r>
              <w:t>22,29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C0" w:rsidRDefault="00F720C0" w:rsidP="005C3012">
            <w:r>
              <w:t>26,61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720C0" w:rsidRPr="00BD0CB9" w:rsidRDefault="00F720C0" w:rsidP="00BD0CB9">
            <w:pPr>
              <w:rPr>
                <w:color w:val="000000"/>
              </w:rPr>
            </w:pPr>
            <w:r w:rsidRPr="00BD0CB9">
              <w:rPr>
                <w:color w:val="000000"/>
              </w:rPr>
              <w:t>4,32</w:t>
            </w:r>
          </w:p>
        </w:tc>
      </w:tr>
    </w:tbl>
    <w:p w:rsidR="00F720C0" w:rsidRDefault="00F720C0" w:rsidP="004E42D8">
      <w:pPr>
        <w:tabs>
          <w:tab w:val="left" w:pos="2120"/>
        </w:tabs>
        <w:ind w:left="-567" w:firstLine="454"/>
        <w:jc w:val="both"/>
        <w:rPr>
          <w:sz w:val="28"/>
          <w:szCs w:val="28"/>
        </w:rPr>
      </w:pPr>
      <w:r>
        <w:rPr>
          <w:sz w:val="28"/>
          <w:szCs w:val="28"/>
        </w:rPr>
        <w:t>Недостатком предлагаемой модели является высокая степень агрегированности используемых показателей. Производственно-институциональная функция не позволяет учесть множество факторов, влияющих как на экономическое развитие экономики региона, так и на суммарный рост налоговых поступлений (качество налогового администрирования, уровень развития малого предпринимательства, социальная политика региональных властей и др.). Главным упущением модели является отсутствие учёта межотраслевых связей, а также спросовых ограничений. Также фактически игнорируется экономическое поведение домохозяйств и некоммерческих организаций под воздействием изменения налоговой нагрузки.</w:t>
      </w:r>
    </w:p>
    <w:p w:rsidR="00F720C0" w:rsidRDefault="00F720C0" w:rsidP="004E42D8">
      <w:pPr>
        <w:tabs>
          <w:tab w:val="left" w:pos="2120"/>
        </w:tabs>
        <w:ind w:left="-567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предложенная методика может служить в качестве индикатора при анализе существующего уровня налоговой нагрузки. Существенно, что модель позволяет проводить анализ не только с позиции фискальных интересов государства, но предполагает возможности оценки перспектив налогового регулирования экономики региона, в том числе межотраслевого перераспределения налогового бремени. Внедряя меры региональной налоговой политики, необходимо избегать ухудшения социальной защищённости населения. Налоговое воздействие должно носить точечный характер. Изменение условий хозяйствования в определённой отрасли неизбежно будет влиять на характер развития других отраслей экономики региона. Анализ такого влияния, а также поиск оптимального уровня налоговой нагрузки исходя из системной взаимосвязи секторов экономики являются перспективными направлениями совершенствования изложенных методических подходов. В частности, большой </w:t>
      </w:r>
      <w:r>
        <w:rPr>
          <w:sz w:val="28"/>
          <w:szCs w:val="28"/>
        </w:rPr>
        <w:lastRenderedPageBreak/>
        <w:t>интерес представляет возможность использования оптимизационных межотраслевых моделей.</w:t>
      </w:r>
    </w:p>
    <w:p w:rsidR="001B7B85" w:rsidRPr="006C7247" w:rsidRDefault="001B7B85" w:rsidP="006C7247">
      <w:pPr>
        <w:rPr>
          <w:sz w:val="28"/>
          <w:szCs w:val="28"/>
        </w:rPr>
      </w:pPr>
    </w:p>
    <w:sectPr w:rsidR="001B7B85" w:rsidRPr="006C7247" w:rsidSect="00E81749">
      <w:footerReference w:type="default" r:id="rId11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41" w:rsidRDefault="00E77641" w:rsidP="001D5AF1">
      <w:r>
        <w:separator/>
      </w:r>
    </w:p>
  </w:endnote>
  <w:endnote w:type="continuationSeparator" w:id="0">
    <w:p w:rsidR="00E77641" w:rsidRDefault="00E77641" w:rsidP="001D5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3219"/>
      <w:docPartObj>
        <w:docPartGallery w:val="Page Numbers (Bottom of Page)"/>
        <w:docPartUnique/>
      </w:docPartObj>
    </w:sdtPr>
    <w:sdtContent>
      <w:p w:rsidR="0006600C" w:rsidRDefault="0006600C">
        <w:pPr>
          <w:pStyle w:val="ac"/>
          <w:jc w:val="right"/>
        </w:pPr>
        <w:fldSimple w:instr=" PAGE   \* MERGEFORMAT ">
          <w:r w:rsidR="00CD47E9">
            <w:rPr>
              <w:noProof/>
            </w:rPr>
            <w:t>12</w:t>
          </w:r>
        </w:fldSimple>
      </w:p>
    </w:sdtContent>
  </w:sdt>
  <w:p w:rsidR="0006600C" w:rsidRDefault="0006600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41" w:rsidRDefault="00E77641" w:rsidP="001D5AF1">
      <w:r>
        <w:separator/>
      </w:r>
    </w:p>
  </w:footnote>
  <w:footnote w:type="continuationSeparator" w:id="0">
    <w:p w:rsidR="00E77641" w:rsidRDefault="00E77641" w:rsidP="001D5AF1">
      <w:r>
        <w:continuationSeparator/>
      </w:r>
    </w:p>
  </w:footnote>
  <w:footnote w:id="1">
    <w:p w:rsidR="0006600C" w:rsidRPr="00BD0CB9" w:rsidRDefault="0006600C" w:rsidP="00BD0CB9">
      <w:pPr>
        <w:pStyle w:val="a4"/>
        <w:ind w:left="-567" w:firstLine="284"/>
        <w:jc w:val="both"/>
        <w:rPr>
          <w:rFonts w:ascii="Times New Roman" w:hAnsi="Times New Roman"/>
        </w:rPr>
      </w:pPr>
      <w:r w:rsidRPr="00BD0CB9">
        <w:rPr>
          <w:rStyle w:val="a6"/>
          <w:rFonts w:ascii="Times New Roman" w:hAnsi="Times New Roman"/>
        </w:rPr>
        <w:footnoteRef/>
      </w:r>
      <w:r w:rsidRPr="00BD0CB9">
        <w:rPr>
          <w:rFonts w:ascii="Times New Roman" w:hAnsi="Times New Roman"/>
        </w:rPr>
        <w:t xml:space="preserve"> Имеется в виду прежде всего налоговая политика, проводимая на федеральном уровне, т.к. в данной статье анализируется общий объём аккумулируемых на территории Новосибирской области налоговых</w:t>
      </w:r>
      <w:r>
        <w:t xml:space="preserve"> </w:t>
      </w:r>
      <w:r w:rsidRPr="00BD0CB9">
        <w:rPr>
          <w:rFonts w:ascii="Times New Roman" w:hAnsi="Times New Roman"/>
        </w:rPr>
        <w:t>поступлений, а не величина налоговых доходов консолидированного бюджета региона.</w:t>
      </w:r>
    </w:p>
  </w:footnote>
  <w:footnote w:id="2">
    <w:p w:rsidR="0006600C" w:rsidRPr="00BD0CB9" w:rsidRDefault="0006600C" w:rsidP="00BD0CB9">
      <w:pPr>
        <w:pStyle w:val="a4"/>
        <w:ind w:left="-567" w:firstLine="284"/>
        <w:jc w:val="both"/>
        <w:rPr>
          <w:rFonts w:ascii="Times New Roman" w:hAnsi="Times New Roman"/>
        </w:rPr>
      </w:pPr>
      <w:r w:rsidRPr="00BD0CB9">
        <w:rPr>
          <w:rStyle w:val="a6"/>
          <w:rFonts w:ascii="Times New Roman" w:hAnsi="Times New Roman"/>
        </w:rPr>
        <w:footnoteRef/>
      </w:r>
      <w:r w:rsidRPr="00BD0CB9">
        <w:rPr>
          <w:rFonts w:ascii="Times New Roman" w:hAnsi="Times New Roman"/>
        </w:rPr>
        <w:t xml:space="preserve"> В качестве показателя «Налоговые поступления» был использован показатель «Расчёты по налогам и сборам по видам экономической деятельности».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87B"/>
    <w:multiLevelType w:val="hybridMultilevel"/>
    <w:tmpl w:val="941A3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E33D0A"/>
    <w:multiLevelType w:val="hybridMultilevel"/>
    <w:tmpl w:val="F6BAFDDE"/>
    <w:lvl w:ilvl="0" w:tplc="2A044A6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F6CE7"/>
    <w:multiLevelType w:val="hybridMultilevel"/>
    <w:tmpl w:val="72EADEE2"/>
    <w:lvl w:ilvl="0" w:tplc="4CF26A3A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4184D"/>
    <w:multiLevelType w:val="hybridMultilevel"/>
    <w:tmpl w:val="E00C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B1B6D"/>
    <w:multiLevelType w:val="hybridMultilevel"/>
    <w:tmpl w:val="BF2E00A2"/>
    <w:lvl w:ilvl="0" w:tplc="0A3E4D3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C75"/>
    <w:rsid w:val="00043146"/>
    <w:rsid w:val="0006600C"/>
    <w:rsid w:val="000A1200"/>
    <w:rsid w:val="000C3979"/>
    <w:rsid w:val="000E5077"/>
    <w:rsid w:val="00133C05"/>
    <w:rsid w:val="001443D3"/>
    <w:rsid w:val="001556AB"/>
    <w:rsid w:val="00175CE4"/>
    <w:rsid w:val="00192C75"/>
    <w:rsid w:val="001A1B9B"/>
    <w:rsid w:val="001B7B85"/>
    <w:rsid w:val="001D5AF1"/>
    <w:rsid w:val="00222448"/>
    <w:rsid w:val="00254F67"/>
    <w:rsid w:val="002616D7"/>
    <w:rsid w:val="00263799"/>
    <w:rsid w:val="002C177D"/>
    <w:rsid w:val="002D15A0"/>
    <w:rsid w:val="0031224E"/>
    <w:rsid w:val="003132D4"/>
    <w:rsid w:val="003E6D38"/>
    <w:rsid w:val="0042008A"/>
    <w:rsid w:val="00431CAB"/>
    <w:rsid w:val="004428B1"/>
    <w:rsid w:val="0048729E"/>
    <w:rsid w:val="004C3BB1"/>
    <w:rsid w:val="004C6F0D"/>
    <w:rsid w:val="004E42D8"/>
    <w:rsid w:val="005117CE"/>
    <w:rsid w:val="00555687"/>
    <w:rsid w:val="00563EC3"/>
    <w:rsid w:val="005B04F9"/>
    <w:rsid w:val="005C3012"/>
    <w:rsid w:val="005D0D6C"/>
    <w:rsid w:val="00645B81"/>
    <w:rsid w:val="00675E5B"/>
    <w:rsid w:val="00682386"/>
    <w:rsid w:val="006B2C8F"/>
    <w:rsid w:val="006C7247"/>
    <w:rsid w:val="006D1789"/>
    <w:rsid w:val="006E68B5"/>
    <w:rsid w:val="006F5B56"/>
    <w:rsid w:val="007352DC"/>
    <w:rsid w:val="007C1DFB"/>
    <w:rsid w:val="00873D82"/>
    <w:rsid w:val="008C11F8"/>
    <w:rsid w:val="008F1CA6"/>
    <w:rsid w:val="0090195F"/>
    <w:rsid w:val="009423FA"/>
    <w:rsid w:val="009A4FA4"/>
    <w:rsid w:val="009B1318"/>
    <w:rsid w:val="009D4735"/>
    <w:rsid w:val="00A07381"/>
    <w:rsid w:val="00A346ED"/>
    <w:rsid w:val="00A658A0"/>
    <w:rsid w:val="00A75455"/>
    <w:rsid w:val="00AD746F"/>
    <w:rsid w:val="00B209EA"/>
    <w:rsid w:val="00B37F63"/>
    <w:rsid w:val="00B53EC4"/>
    <w:rsid w:val="00B762E0"/>
    <w:rsid w:val="00BB4465"/>
    <w:rsid w:val="00BD0CB9"/>
    <w:rsid w:val="00BF2F51"/>
    <w:rsid w:val="00C44315"/>
    <w:rsid w:val="00C457E6"/>
    <w:rsid w:val="00C463DB"/>
    <w:rsid w:val="00C565D6"/>
    <w:rsid w:val="00C77A57"/>
    <w:rsid w:val="00C97F70"/>
    <w:rsid w:val="00CB36D7"/>
    <w:rsid w:val="00CD47E9"/>
    <w:rsid w:val="00D16528"/>
    <w:rsid w:val="00D66641"/>
    <w:rsid w:val="00DA6E04"/>
    <w:rsid w:val="00E60A2A"/>
    <w:rsid w:val="00E77641"/>
    <w:rsid w:val="00E81749"/>
    <w:rsid w:val="00E822E7"/>
    <w:rsid w:val="00E90E36"/>
    <w:rsid w:val="00EA1676"/>
    <w:rsid w:val="00F07503"/>
    <w:rsid w:val="00F5500E"/>
    <w:rsid w:val="00F720C0"/>
    <w:rsid w:val="00FA345C"/>
    <w:rsid w:val="00FD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47"/>
        <o:r id="V:Rule6" type="connector" idref="#_x0000_s1048"/>
        <o:r id="V:Rule8" type="connector" idref="#_x0000_s1049"/>
        <o:r id="V:Rule10" type="connector" idref="#_x0000_s1050"/>
        <o:r id="V:Rule12" type="connector" idref="#_x0000_s1051"/>
        <o:r id="V:Rule14" type="connector" idref="#_x0000_s1052"/>
        <o:r id="V:Rule16" type="connector" idref="#_x0000_s1053"/>
        <o:r id="V:Rule1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6528"/>
    <w:pPr>
      <w:spacing w:before="56"/>
    </w:pPr>
  </w:style>
  <w:style w:type="paragraph" w:styleId="a4">
    <w:name w:val="footnote text"/>
    <w:basedOn w:val="a"/>
    <w:link w:val="a5"/>
    <w:semiHidden/>
    <w:unhideWhenUsed/>
    <w:rsid w:val="001D5AF1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1D5AF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1D5AF1"/>
    <w:rPr>
      <w:vertAlign w:val="superscript"/>
    </w:rPr>
  </w:style>
  <w:style w:type="character" w:styleId="a7">
    <w:name w:val="Emphasis"/>
    <w:basedOn w:val="a0"/>
    <w:uiPriority w:val="20"/>
    <w:qFormat/>
    <w:rsid w:val="009D4735"/>
    <w:rPr>
      <w:i/>
      <w:iCs/>
    </w:rPr>
  </w:style>
  <w:style w:type="paragraph" w:styleId="a8">
    <w:name w:val="Title"/>
    <w:basedOn w:val="a"/>
    <w:link w:val="a9"/>
    <w:qFormat/>
    <w:rsid w:val="007C1DFB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7C1D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817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1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817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1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423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23FA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E6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90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oleObject" Target="embeddings/oleObject64.bin"/><Relationship Id="rId21" Type="http://schemas.openxmlformats.org/officeDocument/2006/relationships/image" Target="media/image7.wmf"/><Relationship Id="rId42" Type="http://schemas.openxmlformats.org/officeDocument/2006/relationships/oleObject" Target="embeddings/oleObject16.bin"/><Relationship Id="rId47" Type="http://schemas.openxmlformats.org/officeDocument/2006/relationships/image" Target="media/image18.wmf"/><Relationship Id="rId63" Type="http://schemas.openxmlformats.org/officeDocument/2006/relationships/oleObject" Target="embeddings/oleObject28.bin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9.bin"/><Relationship Id="rId16" Type="http://schemas.openxmlformats.org/officeDocument/2006/relationships/oleObject" Target="embeddings/oleObject2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1.png"/><Relationship Id="rId32" Type="http://schemas.openxmlformats.org/officeDocument/2006/relationships/oleObject" Target="embeddings/oleObject10.bin"/><Relationship Id="rId37" Type="http://schemas.openxmlformats.org/officeDocument/2006/relationships/image" Target="media/image15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1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9.bin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image" Target="media/image35.wmf"/><Relationship Id="rId90" Type="http://schemas.openxmlformats.org/officeDocument/2006/relationships/image" Target="media/image39.wmf"/><Relationship Id="rId95" Type="http://schemas.openxmlformats.org/officeDocument/2006/relationships/oleObject" Target="embeddings/oleObject44.bin"/><Relationship Id="rId19" Type="http://schemas.openxmlformats.org/officeDocument/2006/relationships/image" Target="media/image6.w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60.bin"/><Relationship Id="rId118" Type="http://schemas.openxmlformats.org/officeDocument/2006/relationships/image" Target="media/image43.png"/><Relationship Id="rId8" Type="http://schemas.openxmlformats.org/officeDocument/2006/relationships/chart" Target="charts/chart1.xml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39.bin"/><Relationship Id="rId93" Type="http://schemas.openxmlformats.org/officeDocument/2006/relationships/image" Target="media/image40.wmf"/><Relationship Id="rId98" Type="http://schemas.openxmlformats.org/officeDocument/2006/relationships/image" Target="media/image41.wmf"/><Relationship Id="rId121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4.wmf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63.bin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61.bin"/><Relationship Id="rId119" Type="http://schemas.openxmlformats.org/officeDocument/2006/relationships/footer" Target="footer1.xml"/><Relationship Id="rId10" Type="http://schemas.openxmlformats.org/officeDocument/2006/relationships/chart" Target="charts/chart3.xml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3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7.wmf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7.bin"/><Relationship Id="rId101" Type="http://schemas.openxmlformats.org/officeDocument/2006/relationships/image" Target="media/image42.wmf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2.wmf"/><Relationship Id="rId76" Type="http://schemas.openxmlformats.org/officeDocument/2006/relationships/image" Target="media/image32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1.bin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chart" Target="charts/chart4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17.wmf"/><Relationship Id="rId66" Type="http://schemas.openxmlformats.org/officeDocument/2006/relationships/image" Target="media/image27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7.bin"/><Relationship Id="rId115" Type="http://schemas.openxmlformats.org/officeDocument/2006/relationships/oleObject" Target="embeddings/oleObject6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dmin\&#1056;&#1072;&#1073;&#1086;&#1095;&#1080;&#1081;%20&#1089;&#1090;&#1086;&#1083;\&#1052;&#1086;&#1080;%20&#1076;&#1086;&#1082;-&#1090;&#1099;\&#1060;&#1083;&#1101;&#1096;\&#1044;&#1086;&#1082;&#1083;&#1072;&#1076;\&#1041;&#104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dmin\&#1056;&#1072;&#1073;&#1086;&#1095;&#1080;&#1081;%20&#1089;&#1090;&#1086;&#1083;\&#1052;&#1086;&#1080;%20&#1076;&#1086;&#1082;-&#1090;&#1099;\&#1060;&#1083;&#1101;&#1096;\&#1044;&#1086;&#1082;&#1083;&#1072;&#1076;\&#1041;&#104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dmin\&#1056;&#1072;&#1073;&#1086;&#1095;&#1080;&#1081;%20&#1089;&#1090;&#1086;&#1083;\&#1052;&#1086;&#1080;%20&#1076;&#1086;&#1082;-&#1090;&#1099;\&#1060;&#1083;&#1101;&#1096;\&#1044;&#1086;&#1082;&#1083;&#1072;&#1076;\&#1041;&#104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dmin\&#1056;&#1072;&#1073;&#1086;&#1095;&#1080;&#1081;%20&#1089;&#1090;&#1086;&#1083;\&#1052;&#1086;&#1080;%20&#1076;&#1086;&#1082;-&#1090;&#1099;\Excel\&#1048;&#1090;&#1086;&#1075;&#108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radarChart>
        <c:radarStyle val="marker"/>
        <c:ser>
          <c:idx val="0"/>
          <c:order val="0"/>
          <c:marker>
            <c:symbol val="none"/>
          </c:marker>
          <c:val>
            <c:numRef>
              <c:f>Лист1!$H$2:$H$81</c:f>
              <c:numCache>
                <c:formatCode>General</c:formatCode>
                <c:ptCount val="80"/>
                <c:pt idx="0">
                  <c:v>57.938853592036374</c:v>
                </c:pt>
                <c:pt idx="1">
                  <c:v>109.21709637537322</c:v>
                </c:pt>
                <c:pt idx="2">
                  <c:v>113.92891268516433</c:v>
                </c:pt>
                <c:pt idx="3">
                  <c:v>73.556687947295757</c:v>
                </c:pt>
                <c:pt idx="4">
                  <c:v>88.529503863584239</c:v>
                </c:pt>
                <c:pt idx="5">
                  <c:v>55.384088855619467</c:v>
                </c:pt>
                <c:pt idx="6">
                  <c:v>67.612683946914615</c:v>
                </c:pt>
                <c:pt idx="7">
                  <c:v>79.546971297558173</c:v>
                </c:pt>
                <c:pt idx="8">
                  <c:v>130.74133275923521</c:v>
                </c:pt>
                <c:pt idx="9">
                  <c:v>65.674013055792742</c:v>
                </c:pt>
                <c:pt idx="10">
                  <c:v>245.04481893250136</c:v>
                </c:pt>
                <c:pt idx="11">
                  <c:v>130.340727136825</c:v>
                </c:pt>
                <c:pt idx="12">
                  <c:v>54.488872681352852</c:v>
                </c:pt>
                <c:pt idx="13">
                  <c:v>76.665358652604482</c:v>
                </c:pt>
                <c:pt idx="14">
                  <c:v>49.204349416780424</c:v>
                </c:pt>
                <c:pt idx="15">
                  <c:v>136.19578801165301</c:v>
                </c:pt>
                <c:pt idx="16">
                  <c:v>47.810184001605847</c:v>
                </c:pt>
                <c:pt idx="17">
                  <c:v>63.514792137892705</c:v>
                </c:pt>
                <c:pt idx="18">
                  <c:v>67.469507208219326</c:v>
                </c:pt>
                <c:pt idx="19">
                  <c:v>219.68518142722561</c:v>
                </c:pt>
                <c:pt idx="20">
                  <c:v>46.216438890068162</c:v>
                </c:pt>
                <c:pt idx="21">
                  <c:v>103.5956015944774</c:v>
                </c:pt>
                <c:pt idx="22">
                  <c:v>72.157460728227946</c:v>
                </c:pt>
                <c:pt idx="23">
                  <c:v>79.337991108250378</c:v>
                </c:pt>
                <c:pt idx="24">
                  <c:v>72.772108343839037</c:v>
                </c:pt>
                <c:pt idx="25">
                  <c:v>165.86518997462613</c:v>
                </c:pt>
                <c:pt idx="26">
                  <c:v>63.872733984631012</c:v>
                </c:pt>
                <c:pt idx="27">
                  <c:v>86.12225455491415</c:v>
                </c:pt>
                <c:pt idx="28">
                  <c:v>91.893434108082232</c:v>
                </c:pt>
                <c:pt idx="29">
                  <c:v>95.571196193962848</c:v>
                </c:pt>
                <c:pt idx="30">
                  <c:v>233.67817673274573</c:v>
                </c:pt>
                <c:pt idx="31">
                  <c:v>89.156444431507708</c:v>
                </c:pt>
                <c:pt idx="32">
                  <c:v>168.0048867917948</c:v>
                </c:pt>
                <c:pt idx="33">
                  <c:v>93.547920866339226</c:v>
                </c:pt>
                <c:pt idx="34">
                  <c:v>92.994738012289048</c:v>
                </c:pt>
                <c:pt idx="35">
                  <c:v>91.01195711581164</c:v>
                </c:pt>
                <c:pt idx="36">
                  <c:v>90.08781634786915</c:v>
                </c:pt>
                <c:pt idx="37">
                  <c:v>88.917816533682213</c:v>
                </c:pt>
                <c:pt idx="38">
                  <c:v>76.948819670627671</c:v>
                </c:pt>
                <c:pt idx="39">
                  <c:v>50.188508716600253</c:v>
                </c:pt>
                <c:pt idx="40">
                  <c:v>129.83671609202392</c:v>
                </c:pt>
                <c:pt idx="41">
                  <c:v>104.08515034244064</c:v>
                </c:pt>
                <c:pt idx="42">
                  <c:v>55.078211277497722</c:v>
                </c:pt>
                <c:pt idx="43">
                  <c:v>49.950603933616563</c:v>
                </c:pt>
                <c:pt idx="44">
                  <c:v>54.929249620067246</c:v>
                </c:pt>
                <c:pt idx="45">
                  <c:v>99.392135018538724</c:v>
                </c:pt>
                <c:pt idx="46">
                  <c:v>79.208553551551063</c:v>
                </c:pt>
                <c:pt idx="47">
                  <c:v>25.955484134997679</c:v>
                </c:pt>
                <c:pt idx="48">
                  <c:v>24.794884813755374</c:v>
                </c:pt>
                <c:pt idx="49">
                  <c:v>35.431181023196494</c:v>
                </c:pt>
                <c:pt idx="50">
                  <c:v>108.86566256221195</c:v>
                </c:pt>
                <c:pt idx="51">
                  <c:v>193.78537713505386</c:v>
                </c:pt>
                <c:pt idx="52">
                  <c:v>58.977969619840209</c:v>
                </c:pt>
                <c:pt idx="53">
                  <c:v>64.819291312672178</c:v>
                </c:pt>
                <c:pt idx="54">
                  <c:v>246.65374945571887</c:v>
                </c:pt>
                <c:pt idx="55">
                  <c:v>41.416402569565726</c:v>
                </c:pt>
                <c:pt idx="56">
                  <c:v>125.57829278810114</c:v>
                </c:pt>
                <c:pt idx="57">
                  <c:v>46.312613164040243</c:v>
                </c:pt>
                <c:pt idx="58">
                  <c:v>104.82923551475108</c:v>
                </c:pt>
                <c:pt idx="59">
                  <c:v>61.139359882265964</c:v>
                </c:pt>
                <c:pt idx="60">
                  <c:v>72.315822878603058</c:v>
                </c:pt>
                <c:pt idx="61">
                  <c:v>147.80105810923422</c:v>
                </c:pt>
                <c:pt idx="62">
                  <c:v>73.659370254844845</c:v>
                </c:pt>
                <c:pt idx="63">
                  <c:v>154.95049455105521</c:v>
                </c:pt>
                <c:pt idx="64">
                  <c:v>114.43798553385878</c:v>
                </c:pt>
                <c:pt idx="65">
                  <c:v>74.906020242272845</c:v>
                </c:pt>
                <c:pt idx="66">
                  <c:v>74.942175984367637</c:v>
                </c:pt>
                <c:pt idx="67">
                  <c:v>56.886721497078383</c:v>
                </c:pt>
                <c:pt idx="68">
                  <c:v>77.049332633651034</c:v>
                </c:pt>
                <c:pt idx="69">
                  <c:v>137.95946511103617</c:v>
                </c:pt>
                <c:pt idx="70">
                  <c:v>72.92468557547906</c:v>
                </c:pt>
                <c:pt idx="71">
                  <c:v>423.65635422521945</c:v>
                </c:pt>
                <c:pt idx="72">
                  <c:v>85.379615612287452</c:v>
                </c:pt>
                <c:pt idx="73">
                  <c:v>74.000680460219627</c:v>
                </c:pt>
                <c:pt idx="74">
                  <c:v>141.13466238179936</c:v>
                </c:pt>
                <c:pt idx="75">
                  <c:v>87.874361816826891</c:v>
                </c:pt>
                <c:pt idx="76">
                  <c:v>0</c:v>
                </c:pt>
                <c:pt idx="77">
                  <c:v>60.227512066635718</c:v>
                </c:pt>
                <c:pt idx="78">
                  <c:v>273.76694045259109</c:v>
                </c:pt>
                <c:pt idx="79">
                  <c:v>100.59539811545282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Лист1!$X$2:$X$81</c:f>
              <c:numCache>
                <c:formatCode>General</c:formatCode>
                <c:ptCount val="80"/>
                <c:pt idx="0">
                  <c:v>99.022700137499839</c:v>
                </c:pt>
                <c:pt idx="1">
                  <c:v>99.022700137499839</c:v>
                </c:pt>
                <c:pt idx="2">
                  <c:v>99.022700137499839</c:v>
                </c:pt>
                <c:pt idx="3">
                  <c:v>99.022700137499839</c:v>
                </c:pt>
                <c:pt idx="4">
                  <c:v>99.022700137499839</c:v>
                </c:pt>
                <c:pt idx="5">
                  <c:v>99.022700137499839</c:v>
                </c:pt>
                <c:pt idx="6">
                  <c:v>99.022700137499839</c:v>
                </c:pt>
                <c:pt idx="7">
                  <c:v>99.022700137499839</c:v>
                </c:pt>
                <c:pt idx="8">
                  <c:v>99.022700137499839</c:v>
                </c:pt>
                <c:pt idx="9">
                  <c:v>99.022700137499839</c:v>
                </c:pt>
                <c:pt idx="10">
                  <c:v>99.022700137499839</c:v>
                </c:pt>
                <c:pt idx="11">
                  <c:v>99.022700137499839</c:v>
                </c:pt>
                <c:pt idx="12">
                  <c:v>99.022700137499839</c:v>
                </c:pt>
                <c:pt idx="13">
                  <c:v>99.022700137499839</c:v>
                </c:pt>
                <c:pt idx="14">
                  <c:v>99.022700137499839</c:v>
                </c:pt>
                <c:pt idx="15">
                  <c:v>99.022700137499839</c:v>
                </c:pt>
                <c:pt idx="16">
                  <c:v>99.022700137499839</c:v>
                </c:pt>
                <c:pt idx="17">
                  <c:v>99.022700137499839</c:v>
                </c:pt>
                <c:pt idx="18">
                  <c:v>99.022700137499839</c:v>
                </c:pt>
                <c:pt idx="19">
                  <c:v>99.022700137499839</c:v>
                </c:pt>
                <c:pt idx="20">
                  <c:v>99.022700137499839</c:v>
                </c:pt>
                <c:pt idx="21">
                  <c:v>99.022700137499839</c:v>
                </c:pt>
                <c:pt idx="22">
                  <c:v>99.022700137499839</c:v>
                </c:pt>
                <c:pt idx="23">
                  <c:v>99.022700137499839</c:v>
                </c:pt>
                <c:pt idx="24">
                  <c:v>99.022700137499839</c:v>
                </c:pt>
                <c:pt idx="25">
                  <c:v>99.022700137499839</c:v>
                </c:pt>
                <c:pt idx="26">
                  <c:v>99.022700137499839</c:v>
                </c:pt>
                <c:pt idx="27">
                  <c:v>99.022700137499839</c:v>
                </c:pt>
                <c:pt idx="28">
                  <c:v>99.022700137499839</c:v>
                </c:pt>
                <c:pt idx="29">
                  <c:v>99.022700137499839</c:v>
                </c:pt>
                <c:pt idx="30">
                  <c:v>99.022700137499839</c:v>
                </c:pt>
                <c:pt idx="31">
                  <c:v>99.022700137499839</c:v>
                </c:pt>
                <c:pt idx="32">
                  <c:v>99.022700137499839</c:v>
                </c:pt>
                <c:pt idx="33">
                  <c:v>99.022700137499839</c:v>
                </c:pt>
                <c:pt idx="34">
                  <c:v>99.022700137499839</c:v>
                </c:pt>
                <c:pt idx="35">
                  <c:v>99.022700137499839</c:v>
                </c:pt>
                <c:pt idx="36">
                  <c:v>99.022700137499839</c:v>
                </c:pt>
                <c:pt idx="37">
                  <c:v>99.022700137499839</c:v>
                </c:pt>
                <c:pt idx="38">
                  <c:v>99.022700137499839</c:v>
                </c:pt>
                <c:pt idx="39">
                  <c:v>99.022700137499839</c:v>
                </c:pt>
                <c:pt idx="40">
                  <c:v>99.022700137499839</c:v>
                </c:pt>
                <c:pt idx="41">
                  <c:v>99.022700137499839</c:v>
                </c:pt>
                <c:pt idx="42">
                  <c:v>99.022700137499839</c:v>
                </c:pt>
                <c:pt idx="43">
                  <c:v>99.022700137499839</c:v>
                </c:pt>
                <c:pt idx="44">
                  <c:v>99.022700137499839</c:v>
                </c:pt>
                <c:pt idx="45">
                  <c:v>99.022700137499839</c:v>
                </c:pt>
                <c:pt idx="46">
                  <c:v>99.022700137499839</c:v>
                </c:pt>
                <c:pt idx="47">
                  <c:v>99.022700137499839</c:v>
                </c:pt>
                <c:pt idx="48">
                  <c:v>99.022700137499839</c:v>
                </c:pt>
                <c:pt idx="49">
                  <c:v>99.022700137499839</c:v>
                </c:pt>
                <c:pt idx="50">
                  <c:v>99.022700137499839</c:v>
                </c:pt>
                <c:pt idx="51">
                  <c:v>99.022700137499839</c:v>
                </c:pt>
                <c:pt idx="52">
                  <c:v>99.022700137499839</c:v>
                </c:pt>
                <c:pt idx="53">
                  <c:v>99.022700137499839</c:v>
                </c:pt>
                <c:pt idx="54">
                  <c:v>99.022700137499839</c:v>
                </c:pt>
                <c:pt idx="55">
                  <c:v>99.022700137499839</c:v>
                </c:pt>
                <c:pt idx="56">
                  <c:v>99.022700137499839</c:v>
                </c:pt>
                <c:pt idx="57">
                  <c:v>99.022700137499839</c:v>
                </c:pt>
                <c:pt idx="58">
                  <c:v>99.022700137499839</c:v>
                </c:pt>
                <c:pt idx="59">
                  <c:v>99.022700137499839</c:v>
                </c:pt>
                <c:pt idx="60">
                  <c:v>99.022700137499839</c:v>
                </c:pt>
                <c:pt idx="61">
                  <c:v>99.022700137499839</c:v>
                </c:pt>
                <c:pt idx="62">
                  <c:v>99.022700137499839</c:v>
                </c:pt>
                <c:pt idx="63">
                  <c:v>99.022700137499839</c:v>
                </c:pt>
                <c:pt idx="64">
                  <c:v>99.022700137499839</c:v>
                </c:pt>
                <c:pt idx="65">
                  <c:v>99.022700137499839</c:v>
                </c:pt>
                <c:pt idx="66">
                  <c:v>99.022700137499839</c:v>
                </c:pt>
                <c:pt idx="67">
                  <c:v>99.022700137499839</c:v>
                </c:pt>
                <c:pt idx="68">
                  <c:v>99.022700137499839</c:v>
                </c:pt>
                <c:pt idx="69">
                  <c:v>99.022700137499839</c:v>
                </c:pt>
                <c:pt idx="70">
                  <c:v>99.022700137499839</c:v>
                </c:pt>
                <c:pt idx="71">
                  <c:v>99.022700137499839</c:v>
                </c:pt>
                <c:pt idx="72">
                  <c:v>99.022700137499839</c:v>
                </c:pt>
                <c:pt idx="73">
                  <c:v>99.022700137499839</c:v>
                </c:pt>
                <c:pt idx="74">
                  <c:v>99.022700137499839</c:v>
                </c:pt>
                <c:pt idx="75">
                  <c:v>99.022700137499839</c:v>
                </c:pt>
                <c:pt idx="76">
                  <c:v>99.022700137499839</c:v>
                </c:pt>
                <c:pt idx="77">
                  <c:v>99.022700137499839</c:v>
                </c:pt>
                <c:pt idx="78">
                  <c:v>99.022700137499839</c:v>
                </c:pt>
                <c:pt idx="79">
                  <c:v>99.022700137499839</c:v>
                </c:pt>
              </c:numCache>
            </c:numRef>
          </c:val>
        </c:ser>
        <c:axId val="146917632"/>
        <c:axId val="147563264"/>
      </c:radarChart>
      <c:catAx>
        <c:axId val="146917632"/>
        <c:scaling>
          <c:orientation val="minMax"/>
        </c:scaling>
        <c:delete val="1"/>
        <c:axPos val="b"/>
        <c:majorGridlines/>
        <c:tickLblPos val="none"/>
        <c:crossAx val="147563264"/>
        <c:crosses val="autoZero"/>
        <c:auto val="1"/>
        <c:lblAlgn val="ctr"/>
        <c:lblOffset val="100"/>
      </c:catAx>
      <c:valAx>
        <c:axId val="147563264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146917632"/>
        <c:crosses val="autoZero"/>
        <c:crossBetween val="between"/>
        <c:majorUnit val="100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radarChart>
        <c:radarStyle val="marker"/>
        <c:ser>
          <c:idx val="0"/>
          <c:order val="0"/>
          <c:marker>
            <c:symbol val="none"/>
          </c:marker>
          <c:val>
            <c:numRef>
              <c:f>Лист1!$I$2:$I$81</c:f>
              <c:numCache>
                <c:formatCode>General</c:formatCode>
                <c:ptCount val="80"/>
                <c:pt idx="0">
                  <c:v>55.328566210092134</c:v>
                </c:pt>
                <c:pt idx="1">
                  <c:v>89.438312413502658</c:v>
                </c:pt>
                <c:pt idx="2">
                  <c:v>134.85876755237419</c:v>
                </c:pt>
                <c:pt idx="3">
                  <c:v>70.360475934823171</c:v>
                </c:pt>
                <c:pt idx="4">
                  <c:v>93.833152131026054</c:v>
                </c:pt>
                <c:pt idx="5">
                  <c:v>46.7285376535757</c:v>
                </c:pt>
                <c:pt idx="6">
                  <c:v>61.548470039255953</c:v>
                </c:pt>
                <c:pt idx="7">
                  <c:v>71.856224753789519</c:v>
                </c:pt>
                <c:pt idx="8">
                  <c:v>160.06807026937855</c:v>
                </c:pt>
                <c:pt idx="9">
                  <c:v>62.022287145852815</c:v>
                </c:pt>
                <c:pt idx="10">
                  <c:v>340.32831546918158</c:v>
                </c:pt>
                <c:pt idx="11">
                  <c:v>145.86174344033057</c:v>
                </c:pt>
                <c:pt idx="12">
                  <c:v>73.605254863769161</c:v>
                </c:pt>
                <c:pt idx="13">
                  <c:v>66.666687077636169</c:v>
                </c:pt>
                <c:pt idx="14">
                  <c:v>44.380786293977444</c:v>
                </c:pt>
                <c:pt idx="15">
                  <c:v>103.59924210615954</c:v>
                </c:pt>
                <c:pt idx="16">
                  <c:v>40.131688749294582</c:v>
                </c:pt>
                <c:pt idx="17">
                  <c:v>87.139059087590113</c:v>
                </c:pt>
                <c:pt idx="18">
                  <c:v>70.167352051322851</c:v>
                </c:pt>
                <c:pt idx="19">
                  <c:v>123.32070082728164</c:v>
                </c:pt>
                <c:pt idx="20">
                  <c:v>37.384789889950618</c:v>
                </c:pt>
                <c:pt idx="21">
                  <c:v>105.88956484786405</c:v>
                </c:pt>
                <c:pt idx="22">
                  <c:v>59.647619997738474</c:v>
                </c:pt>
                <c:pt idx="23">
                  <c:v>64.954991771082135</c:v>
                </c:pt>
                <c:pt idx="24">
                  <c:v>76.227001508307865</c:v>
                </c:pt>
                <c:pt idx="25">
                  <c:v>154.51485935852838</c:v>
                </c:pt>
                <c:pt idx="26">
                  <c:v>52.782729531322374</c:v>
                </c:pt>
                <c:pt idx="27">
                  <c:v>78.63404202417658</c:v>
                </c:pt>
                <c:pt idx="28">
                  <c:v>124.63721778262706</c:v>
                </c:pt>
                <c:pt idx="29">
                  <c:v>147.10942047573826</c:v>
                </c:pt>
                <c:pt idx="30">
                  <c:v>172.95192642027627</c:v>
                </c:pt>
                <c:pt idx="31">
                  <c:v>100.19011562060606</c:v>
                </c:pt>
                <c:pt idx="32">
                  <c:v>176.87294903120281</c:v>
                </c:pt>
                <c:pt idx="33">
                  <c:v>86.419650915270367</c:v>
                </c:pt>
                <c:pt idx="34">
                  <c:v>90.039390345065044</c:v>
                </c:pt>
                <c:pt idx="35">
                  <c:v>89.194829957939916</c:v>
                </c:pt>
                <c:pt idx="36">
                  <c:v>116.55466696661378</c:v>
                </c:pt>
                <c:pt idx="37">
                  <c:v>97.709397785020457</c:v>
                </c:pt>
                <c:pt idx="38">
                  <c:v>67.490037327267075</c:v>
                </c:pt>
                <c:pt idx="39">
                  <c:v>51.816986077928895</c:v>
                </c:pt>
                <c:pt idx="40">
                  <c:v>118.80926737148567</c:v>
                </c:pt>
                <c:pt idx="41">
                  <c:v>92.440725209911975</c:v>
                </c:pt>
                <c:pt idx="42">
                  <c:v>59.860093480356355</c:v>
                </c:pt>
                <c:pt idx="43">
                  <c:v>34.83523213442755</c:v>
                </c:pt>
                <c:pt idx="44">
                  <c:v>51.896865192234756</c:v>
                </c:pt>
                <c:pt idx="45">
                  <c:v>94.371343865456339</c:v>
                </c:pt>
                <c:pt idx="46">
                  <c:v>81.590437504735718</c:v>
                </c:pt>
                <c:pt idx="47">
                  <c:v>38.329323205849882</c:v>
                </c:pt>
                <c:pt idx="48">
                  <c:v>16.09477328138772</c:v>
                </c:pt>
                <c:pt idx="49">
                  <c:v>36.402673698842285</c:v>
                </c:pt>
                <c:pt idx="50">
                  <c:v>94.823578726883582</c:v>
                </c:pt>
                <c:pt idx="51">
                  <c:v>163.04145866711158</c:v>
                </c:pt>
                <c:pt idx="52">
                  <c:v>51.873546444580256</c:v>
                </c:pt>
                <c:pt idx="53">
                  <c:v>54.568226193485138</c:v>
                </c:pt>
                <c:pt idx="54">
                  <c:v>200.45018748417567</c:v>
                </c:pt>
                <c:pt idx="55">
                  <c:v>42.654702823976969</c:v>
                </c:pt>
                <c:pt idx="56">
                  <c:v>128.65523646092515</c:v>
                </c:pt>
                <c:pt idx="57">
                  <c:v>39.742960264458361</c:v>
                </c:pt>
                <c:pt idx="58">
                  <c:v>75.7813405491449</c:v>
                </c:pt>
                <c:pt idx="59">
                  <c:v>63.064064600906995</c:v>
                </c:pt>
                <c:pt idx="60">
                  <c:v>72.262194227583109</c:v>
                </c:pt>
                <c:pt idx="61">
                  <c:v>126.42197022943911</c:v>
                </c:pt>
                <c:pt idx="62">
                  <c:v>71.388981549456943</c:v>
                </c:pt>
                <c:pt idx="63">
                  <c:v>212.57469590560038</c:v>
                </c:pt>
                <c:pt idx="64">
                  <c:v>101.83222679187196</c:v>
                </c:pt>
                <c:pt idx="65">
                  <c:v>67.855695136232356</c:v>
                </c:pt>
                <c:pt idx="66">
                  <c:v>55.696828772784833</c:v>
                </c:pt>
                <c:pt idx="67">
                  <c:v>61.138283345141893</c:v>
                </c:pt>
                <c:pt idx="68">
                  <c:v>76.153820332158006</c:v>
                </c:pt>
                <c:pt idx="69">
                  <c:v>158.15915789489546</c:v>
                </c:pt>
                <c:pt idx="70">
                  <c:v>66.917487650813925</c:v>
                </c:pt>
                <c:pt idx="71">
                  <c:v>577.81971342307941</c:v>
                </c:pt>
                <c:pt idx="72">
                  <c:v>80.35231123299485</c:v>
                </c:pt>
                <c:pt idx="73">
                  <c:v>61.672133823359943</c:v>
                </c:pt>
                <c:pt idx="74">
                  <c:v>116.16544233821031</c:v>
                </c:pt>
                <c:pt idx="75">
                  <c:v>101.38123228936253</c:v>
                </c:pt>
                <c:pt idx="76">
                  <c:v>0</c:v>
                </c:pt>
                <c:pt idx="77">
                  <c:v>56.747040668480004</c:v>
                </c:pt>
                <c:pt idx="78">
                  <c:v>300.20369676571875</c:v>
                </c:pt>
                <c:pt idx="79">
                  <c:v>103.70516875773907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Лист1!$Y$2:$Y$81</c:f>
              <c:numCache>
                <c:formatCode>General</c:formatCode>
                <c:ptCount val="80"/>
                <c:pt idx="0">
                  <c:v>99.022700137499896</c:v>
                </c:pt>
                <c:pt idx="1">
                  <c:v>99.022700137499896</c:v>
                </c:pt>
                <c:pt idx="2">
                  <c:v>99.022700137499896</c:v>
                </c:pt>
                <c:pt idx="3">
                  <c:v>99.022700137499896</c:v>
                </c:pt>
                <c:pt idx="4">
                  <c:v>99.022700137499896</c:v>
                </c:pt>
                <c:pt idx="5">
                  <c:v>99.022700137499896</c:v>
                </c:pt>
                <c:pt idx="6">
                  <c:v>99.022700137499839</c:v>
                </c:pt>
                <c:pt idx="7">
                  <c:v>99.022700137499839</c:v>
                </c:pt>
                <c:pt idx="8">
                  <c:v>99.022700137499839</c:v>
                </c:pt>
                <c:pt idx="9">
                  <c:v>99.022700137499839</c:v>
                </c:pt>
                <c:pt idx="10">
                  <c:v>99.022700137499839</c:v>
                </c:pt>
                <c:pt idx="11">
                  <c:v>99.022700137499839</c:v>
                </c:pt>
                <c:pt idx="12">
                  <c:v>99.022700137499839</c:v>
                </c:pt>
                <c:pt idx="13">
                  <c:v>99.022700137499839</c:v>
                </c:pt>
                <c:pt idx="14">
                  <c:v>99.022700137499839</c:v>
                </c:pt>
                <c:pt idx="15">
                  <c:v>99.022700137499839</c:v>
                </c:pt>
                <c:pt idx="16">
                  <c:v>99.022700137499839</c:v>
                </c:pt>
                <c:pt idx="17">
                  <c:v>99.022700137499839</c:v>
                </c:pt>
                <c:pt idx="18">
                  <c:v>99.022700137499839</c:v>
                </c:pt>
                <c:pt idx="19">
                  <c:v>99.022700137499839</c:v>
                </c:pt>
                <c:pt idx="20">
                  <c:v>99.022700137499839</c:v>
                </c:pt>
                <c:pt idx="21">
                  <c:v>99.022700137499839</c:v>
                </c:pt>
                <c:pt idx="22">
                  <c:v>99.022700137499839</c:v>
                </c:pt>
                <c:pt idx="23">
                  <c:v>99.022700137499839</c:v>
                </c:pt>
                <c:pt idx="24">
                  <c:v>99.022700137499839</c:v>
                </c:pt>
                <c:pt idx="25">
                  <c:v>99.022700137499839</c:v>
                </c:pt>
                <c:pt idx="26">
                  <c:v>99.022700137499839</c:v>
                </c:pt>
                <c:pt idx="27">
                  <c:v>99.022700137499839</c:v>
                </c:pt>
                <c:pt idx="28">
                  <c:v>99.022700137499839</c:v>
                </c:pt>
                <c:pt idx="29">
                  <c:v>99.022700137499839</c:v>
                </c:pt>
                <c:pt idx="30">
                  <c:v>99.022700137499839</c:v>
                </c:pt>
                <c:pt idx="31">
                  <c:v>99.022700137499839</c:v>
                </c:pt>
                <c:pt idx="32">
                  <c:v>99.022700137499839</c:v>
                </c:pt>
                <c:pt idx="33">
                  <c:v>99.022700137499839</c:v>
                </c:pt>
                <c:pt idx="34">
                  <c:v>99.022700137499839</c:v>
                </c:pt>
                <c:pt idx="35">
                  <c:v>99.022700137499839</c:v>
                </c:pt>
                <c:pt idx="36">
                  <c:v>99.022700137499839</c:v>
                </c:pt>
                <c:pt idx="37">
                  <c:v>99.022700137499839</c:v>
                </c:pt>
                <c:pt idx="38">
                  <c:v>99.022700137499839</c:v>
                </c:pt>
                <c:pt idx="39">
                  <c:v>99.022700137499839</c:v>
                </c:pt>
                <c:pt idx="40">
                  <c:v>99.022700137499839</c:v>
                </c:pt>
                <c:pt idx="41">
                  <c:v>99.022700137499839</c:v>
                </c:pt>
                <c:pt idx="42">
                  <c:v>99.022700137499839</c:v>
                </c:pt>
                <c:pt idx="43">
                  <c:v>99.022700137499839</c:v>
                </c:pt>
                <c:pt idx="44">
                  <c:v>99.022700137499839</c:v>
                </c:pt>
                <c:pt idx="45">
                  <c:v>99.022700137499839</c:v>
                </c:pt>
                <c:pt idx="46">
                  <c:v>99.022700137499839</c:v>
                </c:pt>
                <c:pt idx="47">
                  <c:v>99.022700137499839</c:v>
                </c:pt>
                <c:pt idx="48">
                  <c:v>99.022700137499839</c:v>
                </c:pt>
                <c:pt idx="49">
                  <c:v>99.022700137499839</c:v>
                </c:pt>
                <c:pt idx="50">
                  <c:v>99.022700137499839</c:v>
                </c:pt>
                <c:pt idx="51">
                  <c:v>99.022700137499839</c:v>
                </c:pt>
                <c:pt idx="52">
                  <c:v>99.022700137499839</c:v>
                </c:pt>
                <c:pt idx="53">
                  <c:v>99.022700137499839</c:v>
                </c:pt>
                <c:pt idx="54">
                  <c:v>99.022700137499839</c:v>
                </c:pt>
                <c:pt idx="55">
                  <c:v>99.022700137499839</c:v>
                </c:pt>
                <c:pt idx="56">
                  <c:v>99.022700137499839</c:v>
                </c:pt>
                <c:pt idx="57">
                  <c:v>99.022700137499839</c:v>
                </c:pt>
                <c:pt idx="58">
                  <c:v>99.022700137499839</c:v>
                </c:pt>
                <c:pt idx="59">
                  <c:v>99.022700137499839</c:v>
                </c:pt>
                <c:pt idx="60">
                  <c:v>99.022700137499839</c:v>
                </c:pt>
                <c:pt idx="61">
                  <c:v>99.022700137499839</c:v>
                </c:pt>
                <c:pt idx="62">
                  <c:v>99.022700137499839</c:v>
                </c:pt>
                <c:pt idx="63">
                  <c:v>99.022700137499839</c:v>
                </c:pt>
                <c:pt idx="64">
                  <c:v>99.022700137499839</c:v>
                </c:pt>
                <c:pt idx="65">
                  <c:v>99.022700137499839</c:v>
                </c:pt>
                <c:pt idx="66">
                  <c:v>99.022700137499839</c:v>
                </c:pt>
                <c:pt idx="67">
                  <c:v>99.022700137499839</c:v>
                </c:pt>
                <c:pt idx="68">
                  <c:v>99.022700137499839</c:v>
                </c:pt>
                <c:pt idx="69">
                  <c:v>99.022700137499839</c:v>
                </c:pt>
                <c:pt idx="70">
                  <c:v>99.022700137499839</c:v>
                </c:pt>
                <c:pt idx="71">
                  <c:v>99.022700137499839</c:v>
                </c:pt>
                <c:pt idx="72">
                  <c:v>99.022700137499839</c:v>
                </c:pt>
                <c:pt idx="73">
                  <c:v>99.022700137499839</c:v>
                </c:pt>
                <c:pt idx="74">
                  <c:v>99.022700137499839</c:v>
                </c:pt>
                <c:pt idx="75">
                  <c:v>99.022700137499839</c:v>
                </c:pt>
                <c:pt idx="76">
                  <c:v>99.022700137499839</c:v>
                </c:pt>
                <c:pt idx="77">
                  <c:v>99.022700137499839</c:v>
                </c:pt>
                <c:pt idx="78">
                  <c:v>99.022700137499839</c:v>
                </c:pt>
                <c:pt idx="79">
                  <c:v>99.022700137499839</c:v>
                </c:pt>
              </c:numCache>
            </c:numRef>
          </c:val>
        </c:ser>
        <c:axId val="148585472"/>
        <c:axId val="148612608"/>
      </c:radarChart>
      <c:catAx>
        <c:axId val="148585472"/>
        <c:scaling>
          <c:orientation val="minMax"/>
        </c:scaling>
        <c:delete val="1"/>
        <c:axPos val="b"/>
        <c:majorGridlines/>
        <c:tickLblPos val="none"/>
        <c:crossAx val="148612608"/>
        <c:crosses val="autoZero"/>
        <c:auto val="1"/>
        <c:lblAlgn val="ctr"/>
        <c:lblOffset val="100"/>
      </c:catAx>
      <c:valAx>
        <c:axId val="148612608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148585472"/>
        <c:crosses val="autoZero"/>
        <c:crossBetween val="between"/>
        <c:majorUnit val="100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radarChart>
        <c:radarStyle val="marker"/>
        <c:ser>
          <c:idx val="0"/>
          <c:order val="0"/>
          <c:marker>
            <c:symbol val="none"/>
          </c:marker>
          <c:val>
            <c:numRef>
              <c:f>Лист1!$J$2:$J$81</c:f>
              <c:numCache>
                <c:formatCode>General</c:formatCode>
                <c:ptCount val="80"/>
                <c:pt idx="0">
                  <c:v>118.79976591504288</c:v>
                </c:pt>
                <c:pt idx="1">
                  <c:v>56.716968102005453</c:v>
                </c:pt>
                <c:pt idx="2">
                  <c:v>99.001279381459781</c:v>
                </c:pt>
                <c:pt idx="3">
                  <c:v>132.61365700631509</c:v>
                </c:pt>
                <c:pt idx="4">
                  <c:v>66.002625319541679</c:v>
                </c:pt>
                <c:pt idx="5">
                  <c:v>51.637029335931302</c:v>
                </c:pt>
                <c:pt idx="6">
                  <c:v>69.331006479598855</c:v>
                </c:pt>
                <c:pt idx="7">
                  <c:v>76.712786769313595</c:v>
                </c:pt>
                <c:pt idx="8">
                  <c:v>95.977949406057775</c:v>
                </c:pt>
                <c:pt idx="9">
                  <c:v>64.426076792865558</c:v>
                </c:pt>
                <c:pt idx="10">
                  <c:v>334.91131811402164</c:v>
                </c:pt>
                <c:pt idx="11">
                  <c:v>157.2093083378075</c:v>
                </c:pt>
                <c:pt idx="12">
                  <c:v>84.369502747317142</c:v>
                </c:pt>
                <c:pt idx="13">
                  <c:v>67.092650439165993</c:v>
                </c:pt>
                <c:pt idx="14">
                  <c:v>42.305671738064305</c:v>
                </c:pt>
                <c:pt idx="15">
                  <c:v>101.72757980365883</c:v>
                </c:pt>
                <c:pt idx="16">
                  <c:v>40.573228533850646</c:v>
                </c:pt>
                <c:pt idx="17">
                  <c:v>94.970661685126615</c:v>
                </c:pt>
                <c:pt idx="18">
                  <c:v>83.62885405585827</c:v>
                </c:pt>
                <c:pt idx="19">
                  <c:v>144.74424311575558</c:v>
                </c:pt>
                <c:pt idx="20">
                  <c:v>41.552830166798124</c:v>
                </c:pt>
                <c:pt idx="21">
                  <c:v>103.19723436149719</c:v>
                </c:pt>
                <c:pt idx="22">
                  <c:v>56.694140830787099</c:v>
                </c:pt>
                <c:pt idx="23">
                  <c:v>63.245934373612094</c:v>
                </c:pt>
                <c:pt idx="24">
                  <c:v>88.524937029047166</c:v>
                </c:pt>
                <c:pt idx="25">
                  <c:v>170.228232833216</c:v>
                </c:pt>
                <c:pt idx="26">
                  <c:v>57.890968243461181</c:v>
                </c:pt>
                <c:pt idx="27">
                  <c:v>78.138803652051635</c:v>
                </c:pt>
                <c:pt idx="28">
                  <c:v>133.88231239890746</c:v>
                </c:pt>
                <c:pt idx="29">
                  <c:v>99.393743429997386</c:v>
                </c:pt>
                <c:pt idx="30">
                  <c:v>169.19875957158243</c:v>
                </c:pt>
                <c:pt idx="31">
                  <c:v>116.24920797848881</c:v>
                </c:pt>
                <c:pt idx="32">
                  <c:v>134.86416008866146</c:v>
                </c:pt>
                <c:pt idx="33">
                  <c:v>89.357582373789484</c:v>
                </c:pt>
                <c:pt idx="34">
                  <c:v>91.760450615834401</c:v>
                </c:pt>
                <c:pt idx="35">
                  <c:v>82.987673594407326</c:v>
                </c:pt>
                <c:pt idx="36">
                  <c:v>86.002798586780955</c:v>
                </c:pt>
                <c:pt idx="37">
                  <c:v>102.55623725162218</c:v>
                </c:pt>
                <c:pt idx="38">
                  <c:v>59.559605099208994</c:v>
                </c:pt>
                <c:pt idx="39">
                  <c:v>52.22829233080239</c:v>
                </c:pt>
                <c:pt idx="40">
                  <c:v>109.64181307022626</c:v>
                </c:pt>
                <c:pt idx="41">
                  <c:v>108.61990306110496</c:v>
                </c:pt>
                <c:pt idx="42">
                  <c:v>57.195744904969139</c:v>
                </c:pt>
                <c:pt idx="43">
                  <c:v>48.082300655238924</c:v>
                </c:pt>
                <c:pt idx="44">
                  <c:v>48.233153164435073</c:v>
                </c:pt>
                <c:pt idx="45">
                  <c:v>85.310188008247692</c:v>
                </c:pt>
                <c:pt idx="46">
                  <c:v>64.372446456870506</c:v>
                </c:pt>
                <c:pt idx="47">
                  <c:v>45.065204633422674</c:v>
                </c:pt>
                <c:pt idx="48">
                  <c:v>24.136859850318203</c:v>
                </c:pt>
                <c:pt idx="49">
                  <c:v>38.559799039338564</c:v>
                </c:pt>
                <c:pt idx="50">
                  <c:v>90.856619021690065</c:v>
                </c:pt>
                <c:pt idx="51">
                  <c:v>178.7295578462992</c:v>
                </c:pt>
                <c:pt idx="52">
                  <c:v>54.194737983951349</c:v>
                </c:pt>
                <c:pt idx="53">
                  <c:v>57.140739432153772</c:v>
                </c:pt>
                <c:pt idx="54">
                  <c:v>183.99197726843829</c:v>
                </c:pt>
                <c:pt idx="55">
                  <c:v>48.131943094454812</c:v>
                </c:pt>
                <c:pt idx="56">
                  <c:v>121.6527622762932</c:v>
                </c:pt>
                <c:pt idx="57">
                  <c:v>45.738288269106555</c:v>
                </c:pt>
                <c:pt idx="58">
                  <c:v>80.707971773574855</c:v>
                </c:pt>
                <c:pt idx="59">
                  <c:v>67.663607246989358</c:v>
                </c:pt>
                <c:pt idx="60">
                  <c:v>68.7892025723676</c:v>
                </c:pt>
                <c:pt idx="61">
                  <c:v>98.725701962654753</c:v>
                </c:pt>
                <c:pt idx="62">
                  <c:v>67.089854327631159</c:v>
                </c:pt>
                <c:pt idx="63">
                  <c:v>452.61601674109863</c:v>
                </c:pt>
                <c:pt idx="64">
                  <c:v>110.26768367507709</c:v>
                </c:pt>
                <c:pt idx="65">
                  <c:v>69.183500136665586</c:v>
                </c:pt>
                <c:pt idx="66">
                  <c:v>52.167694634917446</c:v>
                </c:pt>
                <c:pt idx="67">
                  <c:v>58.21797577934845</c:v>
                </c:pt>
                <c:pt idx="68">
                  <c:v>73.88225097612937</c:v>
                </c:pt>
                <c:pt idx="69">
                  <c:v>124.60206405286459</c:v>
                </c:pt>
                <c:pt idx="70">
                  <c:v>69.79960727009167</c:v>
                </c:pt>
                <c:pt idx="71">
                  <c:v>445.43592318504056</c:v>
                </c:pt>
                <c:pt idx="72">
                  <c:v>79.653379346022447</c:v>
                </c:pt>
                <c:pt idx="73">
                  <c:v>61.83664832218868</c:v>
                </c:pt>
                <c:pt idx="74">
                  <c:v>119.68297045688132</c:v>
                </c:pt>
                <c:pt idx="75">
                  <c:v>85.174278652499652</c:v>
                </c:pt>
                <c:pt idx="76">
                  <c:v>25.344780033343383</c:v>
                </c:pt>
                <c:pt idx="77">
                  <c:v>55.832388423346458</c:v>
                </c:pt>
                <c:pt idx="78">
                  <c:v>379.12219607883395</c:v>
                </c:pt>
                <c:pt idx="79">
                  <c:v>84.284198426559229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Лист1!$Z$2:$Z$81</c:f>
              <c:numCache>
                <c:formatCode>General</c:formatCode>
                <c:ptCount val="8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  <c:pt idx="27">
                  <c:v>100</c:v>
                </c:pt>
                <c:pt idx="28">
                  <c:v>100</c:v>
                </c:pt>
                <c:pt idx="29">
                  <c:v>100</c:v>
                </c:pt>
                <c:pt idx="30">
                  <c:v>100</c:v>
                </c:pt>
                <c:pt idx="31">
                  <c:v>100</c:v>
                </c:pt>
                <c:pt idx="32">
                  <c:v>100</c:v>
                </c:pt>
                <c:pt idx="33">
                  <c:v>100</c:v>
                </c:pt>
                <c:pt idx="34">
                  <c:v>100</c:v>
                </c:pt>
                <c:pt idx="35">
                  <c:v>100</c:v>
                </c:pt>
                <c:pt idx="36">
                  <c:v>100</c:v>
                </c:pt>
                <c:pt idx="37">
                  <c:v>100</c:v>
                </c:pt>
                <c:pt idx="38">
                  <c:v>100</c:v>
                </c:pt>
                <c:pt idx="39">
                  <c:v>100</c:v>
                </c:pt>
                <c:pt idx="40">
                  <c:v>100</c:v>
                </c:pt>
                <c:pt idx="41">
                  <c:v>100</c:v>
                </c:pt>
                <c:pt idx="42">
                  <c:v>100</c:v>
                </c:pt>
                <c:pt idx="43">
                  <c:v>100</c:v>
                </c:pt>
                <c:pt idx="44">
                  <c:v>100</c:v>
                </c:pt>
                <c:pt idx="45">
                  <c:v>100</c:v>
                </c:pt>
                <c:pt idx="46">
                  <c:v>100</c:v>
                </c:pt>
                <c:pt idx="47">
                  <c:v>100</c:v>
                </c:pt>
                <c:pt idx="48">
                  <c:v>100</c:v>
                </c:pt>
                <c:pt idx="49">
                  <c:v>100</c:v>
                </c:pt>
                <c:pt idx="50">
                  <c:v>100</c:v>
                </c:pt>
                <c:pt idx="51">
                  <c:v>100</c:v>
                </c:pt>
                <c:pt idx="52">
                  <c:v>100</c:v>
                </c:pt>
                <c:pt idx="53">
                  <c:v>100</c:v>
                </c:pt>
                <c:pt idx="54">
                  <c:v>100</c:v>
                </c:pt>
                <c:pt idx="55">
                  <c:v>100</c:v>
                </c:pt>
                <c:pt idx="56">
                  <c:v>100</c:v>
                </c:pt>
                <c:pt idx="57">
                  <c:v>100</c:v>
                </c:pt>
                <c:pt idx="58">
                  <c:v>100</c:v>
                </c:pt>
                <c:pt idx="59">
                  <c:v>100</c:v>
                </c:pt>
                <c:pt idx="60">
                  <c:v>100</c:v>
                </c:pt>
                <c:pt idx="61">
                  <c:v>100</c:v>
                </c:pt>
                <c:pt idx="62">
                  <c:v>100</c:v>
                </c:pt>
                <c:pt idx="63">
                  <c:v>100</c:v>
                </c:pt>
                <c:pt idx="64">
                  <c:v>100</c:v>
                </c:pt>
                <c:pt idx="65">
                  <c:v>100</c:v>
                </c:pt>
                <c:pt idx="66">
                  <c:v>100</c:v>
                </c:pt>
                <c:pt idx="67">
                  <c:v>100</c:v>
                </c:pt>
                <c:pt idx="68">
                  <c:v>100</c:v>
                </c:pt>
                <c:pt idx="69">
                  <c:v>100</c:v>
                </c:pt>
                <c:pt idx="70">
                  <c:v>100</c:v>
                </c:pt>
                <c:pt idx="71">
                  <c:v>100</c:v>
                </c:pt>
                <c:pt idx="72">
                  <c:v>100</c:v>
                </c:pt>
                <c:pt idx="73">
                  <c:v>100</c:v>
                </c:pt>
                <c:pt idx="74">
                  <c:v>100</c:v>
                </c:pt>
                <c:pt idx="75">
                  <c:v>100</c:v>
                </c:pt>
                <c:pt idx="76">
                  <c:v>100</c:v>
                </c:pt>
                <c:pt idx="77">
                  <c:v>100</c:v>
                </c:pt>
                <c:pt idx="78">
                  <c:v>100</c:v>
                </c:pt>
                <c:pt idx="79">
                  <c:v>100</c:v>
                </c:pt>
              </c:numCache>
            </c:numRef>
          </c:val>
        </c:ser>
        <c:axId val="149152128"/>
        <c:axId val="149435520"/>
      </c:radarChart>
      <c:catAx>
        <c:axId val="149152128"/>
        <c:scaling>
          <c:orientation val="minMax"/>
        </c:scaling>
        <c:delete val="1"/>
        <c:axPos val="b"/>
        <c:majorGridlines/>
        <c:tickLblPos val="none"/>
        <c:crossAx val="149435520"/>
        <c:crosses val="autoZero"/>
        <c:auto val="1"/>
        <c:lblAlgn val="ctr"/>
        <c:lblOffset val="100"/>
      </c:catAx>
      <c:valAx>
        <c:axId val="149435520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14915212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9004376277783565E-2"/>
          <c:y val="4.5830886992784425E-2"/>
          <c:w val="0.66397822534957374"/>
          <c:h val="0.85841696617190899"/>
        </c:manualLayout>
      </c:layout>
      <c:lineChart>
        <c:grouping val="standard"/>
        <c:ser>
          <c:idx val="1"/>
          <c:order val="0"/>
          <c:tx>
            <c:strRef>
              <c:f>Лист2!$AA$3</c:f>
              <c:strCache>
                <c:ptCount val="1"/>
                <c:pt idx="0">
                  <c:v>Фактическая налоговая нагрузка (q)</c:v>
                </c:pt>
              </c:strCache>
            </c:strRef>
          </c:tx>
          <c:cat>
            <c:numRef>
              <c:f>Лист2!$Z$4:$Z$18</c:f>
              <c:numCache>
                <c:formatCode>General</c:formatCode>
                <c:ptCount val="1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</c:numCache>
            </c:numRef>
          </c:cat>
          <c:val>
            <c:numRef>
              <c:f>Лист2!$AA$4:$AA$18</c:f>
              <c:numCache>
                <c:formatCode>General</c:formatCode>
                <c:ptCount val="15"/>
                <c:pt idx="0">
                  <c:v>0.24355402984514671</c:v>
                </c:pt>
                <c:pt idx="1">
                  <c:v>0.22600409113817321</c:v>
                </c:pt>
                <c:pt idx="2">
                  <c:v>0.22550256931915164</c:v>
                </c:pt>
                <c:pt idx="3">
                  <c:v>0.21565161777958597</c:v>
                </c:pt>
                <c:pt idx="4">
                  <c:v>0.19174352800659761</c:v>
                </c:pt>
                <c:pt idx="5">
                  <c:v>0.1953752601971597</c:v>
                </c:pt>
                <c:pt idx="6">
                  <c:v>0.26581733891996795</c:v>
                </c:pt>
                <c:pt idx="7">
                  <c:v>0.23176354455678821</c:v>
                </c:pt>
                <c:pt idx="8">
                  <c:v>0.21953147909380374</c:v>
                </c:pt>
                <c:pt idx="9">
                  <c:v>0.17445902994734341</c:v>
                </c:pt>
                <c:pt idx="10">
                  <c:v>0.18656072814465688</c:v>
                </c:pt>
                <c:pt idx="11">
                  <c:v>0.19266443629682117</c:v>
                </c:pt>
                <c:pt idx="12">
                  <c:v>0.21138387092538202</c:v>
                </c:pt>
                <c:pt idx="13">
                  <c:v>0.20323426399979191</c:v>
                </c:pt>
                <c:pt idx="14">
                  <c:v>0.19639835780778489</c:v>
                </c:pt>
              </c:numCache>
            </c:numRef>
          </c:val>
        </c:ser>
        <c:ser>
          <c:idx val="2"/>
          <c:order val="1"/>
          <c:tx>
            <c:strRef>
              <c:f>Лист2!$AB$3</c:f>
              <c:strCache>
                <c:ptCount val="1"/>
                <c:pt idx="0">
                  <c:v>Точки Лаффера 1-го рода (q*)</c:v>
                </c:pt>
              </c:strCache>
            </c:strRef>
          </c:tx>
          <c:cat>
            <c:numRef>
              <c:f>Лист2!$Z$4:$Z$18</c:f>
              <c:numCache>
                <c:formatCode>General</c:formatCode>
                <c:ptCount val="1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</c:numCache>
            </c:numRef>
          </c:cat>
          <c:val>
            <c:numRef>
              <c:f>Лист2!$AB$4:$AB$18</c:f>
              <c:numCache>
                <c:formatCode>General</c:formatCode>
                <c:ptCount val="15"/>
                <c:pt idx="0">
                  <c:v>0.19900226112175071</c:v>
                </c:pt>
                <c:pt idx="1">
                  <c:v>0.22420268196806292</c:v>
                </c:pt>
                <c:pt idx="2">
                  <c:v>0.22828795668735324</c:v>
                </c:pt>
                <c:pt idx="3">
                  <c:v>0.22792925696741101</c:v>
                </c:pt>
                <c:pt idx="4">
                  <c:v>0.22687616167825667</c:v>
                </c:pt>
                <c:pt idx="5">
                  <c:v>0.23030442978692353</c:v>
                </c:pt>
                <c:pt idx="6">
                  <c:v>0.23151144885658806</c:v>
                </c:pt>
                <c:pt idx="7">
                  <c:v>0.23460962676347405</c:v>
                </c:pt>
                <c:pt idx="8">
                  <c:v>0.23560251048535752</c:v>
                </c:pt>
                <c:pt idx="9">
                  <c:v>0.23619113267472194</c:v>
                </c:pt>
                <c:pt idx="10">
                  <c:v>0.23702130697110099</c:v>
                </c:pt>
                <c:pt idx="11">
                  <c:v>0.23848081516710395</c:v>
                </c:pt>
                <c:pt idx="12">
                  <c:v>0.24028931980769208</c:v>
                </c:pt>
                <c:pt idx="13">
                  <c:v>0.24135899250013482</c:v>
                </c:pt>
                <c:pt idx="14">
                  <c:v>0.2426765770326573</c:v>
                </c:pt>
              </c:numCache>
            </c:numRef>
          </c:val>
        </c:ser>
        <c:ser>
          <c:idx val="3"/>
          <c:order val="2"/>
          <c:tx>
            <c:strRef>
              <c:f>Лист2!$AC$3</c:f>
              <c:strCache>
                <c:ptCount val="1"/>
                <c:pt idx="0">
                  <c:v>Точки Лаффера 2-го рода (q**)</c:v>
                </c:pt>
              </c:strCache>
            </c:strRef>
          </c:tx>
          <c:cat>
            <c:numRef>
              <c:f>Лист2!$Z$4:$Z$18</c:f>
              <c:numCache>
                <c:formatCode>General</c:formatCode>
                <c:ptCount val="1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</c:numCache>
            </c:numRef>
          </c:cat>
          <c:val>
            <c:numRef>
              <c:f>Лист2!$AC$4:$AC$18</c:f>
              <c:numCache>
                <c:formatCode>General</c:formatCode>
                <c:ptCount val="15"/>
                <c:pt idx="0">
                  <c:v>0.22571635075220631</c:v>
                </c:pt>
                <c:pt idx="1">
                  <c:v>0.24254246148575978</c:v>
                </c:pt>
                <c:pt idx="2">
                  <c:v>0.24543090406865256</c:v>
                </c:pt>
                <c:pt idx="3">
                  <c:v>0.24516641382181784</c:v>
                </c:pt>
                <c:pt idx="4">
                  <c:v>0.24441457820040274</c:v>
                </c:pt>
                <c:pt idx="5">
                  <c:v>0.24678269233502453</c:v>
                </c:pt>
                <c:pt idx="6">
                  <c:v>0.24762823198608191</c:v>
                </c:pt>
                <c:pt idx="7">
                  <c:v>0.2497911161470637</c:v>
                </c:pt>
                <c:pt idx="8">
                  <c:v>0.25043886712968938</c:v>
                </c:pt>
                <c:pt idx="9">
                  <c:v>0.25084398022488452</c:v>
                </c:pt>
                <c:pt idx="10">
                  <c:v>0.25141800534630632</c:v>
                </c:pt>
                <c:pt idx="11">
                  <c:v>0.2524470148272801</c:v>
                </c:pt>
                <c:pt idx="12">
                  <c:v>0.25372361956094308</c:v>
                </c:pt>
                <c:pt idx="13">
                  <c:v>0.25446905891718979</c:v>
                </c:pt>
                <c:pt idx="14">
                  <c:v>0.25542366328790039</c:v>
                </c:pt>
              </c:numCache>
            </c:numRef>
          </c:val>
        </c:ser>
        <c:marker val="1"/>
        <c:axId val="150873216"/>
        <c:axId val="150874752"/>
      </c:lineChart>
      <c:catAx>
        <c:axId val="150873216"/>
        <c:scaling>
          <c:orientation val="minMax"/>
        </c:scaling>
        <c:axPos val="b"/>
        <c:numFmt formatCode="General" sourceLinked="1"/>
        <c:tickLblPos val="nextTo"/>
        <c:crossAx val="150874752"/>
        <c:crosses val="autoZero"/>
        <c:auto val="1"/>
        <c:lblAlgn val="ctr"/>
        <c:lblOffset val="100"/>
        <c:tickLblSkip val="3"/>
        <c:tickMarkSkip val="1"/>
      </c:catAx>
      <c:valAx>
        <c:axId val="150874752"/>
        <c:scaling>
          <c:orientation val="minMax"/>
          <c:min val="0.17"/>
        </c:scaling>
        <c:axPos val="l"/>
        <c:majorGridlines/>
        <c:numFmt formatCode="0%" sourceLinked="0"/>
        <c:tickLblPos val="nextTo"/>
        <c:crossAx val="150873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755256870263045"/>
          <c:y val="0.20160470794809185"/>
          <c:w val="0.20746611053180514"/>
          <c:h val="0.60489149222201377"/>
        </c:manualLayout>
      </c:layout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E5A8A"/>
    <w:rsid w:val="00DE5A8A"/>
    <w:rsid w:val="00E4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174E6F6F654C6A9A2BA918BC10CD34">
    <w:name w:val="3D174E6F6F654C6A9A2BA918BC10CD34"/>
    <w:rsid w:val="00DE5A8A"/>
  </w:style>
  <w:style w:type="paragraph" w:customStyle="1" w:styleId="9215638582DA404E88D6B2740B0DEF41">
    <w:name w:val="9215638582DA404E88D6B2740B0DEF41"/>
    <w:rsid w:val="00DE5A8A"/>
  </w:style>
  <w:style w:type="paragraph" w:customStyle="1" w:styleId="1238F6CB37B14B998F1F0B1D69D58AAD">
    <w:name w:val="1238F6CB37B14B998F1F0B1D69D58AAD"/>
    <w:rsid w:val="00E45B4F"/>
  </w:style>
  <w:style w:type="paragraph" w:customStyle="1" w:styleId="AFF5FF9361C0437986BDC2A7AA2F3440">
    <w:name w:val="AFF5FF9361C0437986BDC2A7AA2F3440"/>
    <w:rsid w:val="00E45B4F"/>
  </w:style>
  <w:style w:type="paragraph" w:customStyle="1" w:styleId="4ADEBC0E955347F3BAC20F59F46B9399">
    <w:name w:val="4ADEBC0E955347F3BAC20F59F46B9399"/>
    <w:rsid w:val="00E45B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58FE-B1B4-43DE-893D-B5849D5E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13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</cp:lastModifiedBy>
  <cp:revision>15</cp:revision>
  <dcterms:created xsi:type="dcterms:W3CDTF">2012-09-24T15:21:00Z</dcterms:created>
  <dcterms:modified xsi:type="dcterms:W3CDTF">2012-09-25T15:22:00Z</dcterms:modified>
</cp:coreProperties>
</file>